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42" w:rsidRDefault="005F7FDD" w:rsidP="00B677C5">
      <w:pPr>
        <w:ind w:firstLine="720"/>
        <w:jc w:val="center"/>
        <w:rPr>
          <w:b/>
          <w:color w:val="231F20"/>
        </w:rPr>
      </w:pPr>
      <w:r>
        <w:rPr>
          <w:b/>
          <w:color w:val="231F20"/>
        </w:rPr>
        <w:t>Facilities, Equipment and Other Resources</w:t>
      </w:r>
    </w:p>
    <w:p w:rsidR="00575442" w:rsidRPr="003C195A" w:rsidRDefault="00F85585" w:rsidP="00B677C5">
      <w:pPr>
        <w:ind w:firstLine="720"/>
        <w:jc w:val="center"/>
        <w:rPr>
          <w:b/>
          <w:i/>
          <w:color w:val="FF0000"/>
        </w:rPr>
      </w:pPr>
      <w:r w:rsidRPr="003C195A">
        <w:rPr>
          <w:b/>
          <w:i/>
          <w:color w:val="FF0000"/>
          <w:highlight w:val="yellow"/>
        </w:rPr>
        <w:t>*Please remember to fill-in all the yellow highlighted language and/or remove any non-relevant sections that are not used on your project.</w:t>
      </w:r>
    </w:p>
    <w:p w:rsidR="00F85585" w:rsidRDefault="00F85585" w:rsidP="00B677C5">
      <w:pPr>
        <w:ind w:firstLine="720"/>
        <w:jc w:val="center"/>
        <w:rPr>
          <w:i/>
          <w:color w:val="FF0000"/>
        </w:rPr>
      </w:pPr>
      <w:bookmarkStart w:id="0" w:name="_GoBack"/>
      <w:bookmarkEnd w:id="0"/>
    </w:p>
    <w:p w:rsidR="00575442" w:rsidRPr="00575442" w:rsidRDefault="00575442" w:rsidP="00B677C5">
      <w:pPr>
        <w:rPr>
          <w:i/>
          <w:color w:val="FF0000"/>
        </w:rPr>
      </w:pPr>
      <w:r w:rsidRPr="00575442">
        <w:rPr>
          <w:b/>
          <w:i/>
          <w:color w:val="FF0000"/>
        </w:rPr>
        <w:t xml:space="preserve">NSF Guidelines (see </w:t>
      </w:r>
      <w:hyperlink r:id="rId7" w:anchor="IIC2i" w:history="1">
        <w:r w:rsidRPr="00575442">
          <w:rPr>
            <w:rStyle w:val="Hyperlink"/>
            <w:b/>
            <w:i/>
          </w:rPr>
          <w:t>PAPPG Section II.C.2.i</w:t>
        </w:r>
      </w:hyperlink>
      <w:r w:rsidRPr="00575442">
        <w:rPr>
          <w:b/>
          <w:i/>
          <w:color w:val="FF0000"/>
        </w:rPr>
        <w:t>):</w:t>
      </w:r>
      <w:r w:rsidRPr="00575442">
        <w:rPr>
          <w:i/>
          <w:color w:val="FF0000"/>
        </w:rPr>
        <w:t xml:space="preserve"> 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rsidR="00575442" w:rsidRPr="00575442" w:rsidRDefault="00575442" w:rsidP="00B677C5">
      <w:pPr>
        <w:jc w:val="both"/>
        <w:rPr>
          <w:i/>
          <w:color w:val="FF0000"/>
        </w:rPr>
      </w:pPr>
    </w:p>
    <w:p w:rsidR="00F40901" w:rsidRDefault="005F7FDD" w:rsidP="00B677C5">
      <w:pPr>
        <w:spacing w:line="252" w:lineRule="exact"/>
        <w:jc w:val="both"/>
        <w:rPr>
          <w:b/>
          <w:color w:val="231F20"/>
          <w:sz w:val="24"/>
          <w:szCs w:val="24"/>
          <w:u w:val="thick" w:color="231F20"/>
        </w:rPr>
      </w:pPr>
      <w:r w:rsidRPr="00575442">
        <w:rPr>
          <w:b/>
          <w:color w:val="231F20"/>
          <w:sz w:val="24"/>
          <w:szCs w:val="24"/>
          <w:u w:val="thick" w:color="231F20"/>
        </w:rPr>
        <w:t xml:space="preserve">UC Irvine </w:t>
      </w:r>
      <w:r w:rsidR="003F6350" w:rsidRPr="00575442">
        <w:rPr>
          <w:b/>
          <w:color w:val="231F20"/>
          <w:sz w:val="24"/>
          <w:szCs w:val="24"/>
          <w:u w:val="thick" w:color="231F20"/>
        </w:rPr>
        <w:t>School of Engineering</w:t>
      </w:r>
      <w:r w:rsidRPr="00575442">
        <w:rPr>
          <w:b/>
          <w:color w:val="231F20"/>
          <w:sz w:val="24"/>
          <w:szCs w:val="24"/>
          <w:u w:val="thick" w:color="231F20"/>
        </w:rPr>
        <w:t xml:space="preserve"> Facilities and </w:t>
      </w:r>
      <w:r w:rsidR="003F6350" w:rsidRPr="00575442">
        <w:rPr>
          <w:b/>
          <w:color w:val="231F20"/>
          <w:sz w:val="24"/>
          <w:szCs w:val="24"/>
          <w:u w:val="thick" w:color="231F20"/>
        </w:rPr>
        <w:t>Major Equipment</w:t>
      </w:r>
    </w:p>
    <w:p w:rsidR="00C35FFA" w:rsidRDefault="00C35FFA" w:rsidP="00B677C5">
      <w:pPr>
        <w:spacing w:line="252" w:lineRule="exact"/>
        <w:jc w:val="both"/>
        <w:rPr>
          <w:b/>
          <w:color w:val="231F20"/>
          <w:sz w:val="24"/>
          <w:szCs w:val="24"/>
          <w:u w:val="thick" w:color="231F20"/>
        </w:rPr>
      </w:pPr>
    </w:p>
    <w:p w:rsidR="003B3578" w:rsidRPr="00C35FFA" w:rsidRDefault="00C35FFA" w:rsidP="00B677C5">
      <w:pPr>
        <w:spacing w:line="252" w:lineRule="exact"/>
        <w:jc w:val="both"/>
        <w:rPr>
          <w:b/>
          <w:color w:val="231F20"/>
          <w:u w:val="single"/>
        </w:rPr>
      </w:pPr>
      <w:r w:rsidRPr="00C35FFA">
        <w:rPr>
          <w:b/>
          <w:color w:val="231F20"/>
          <w:u w:val="single"/>
        </w:rPr>
        <w:t>PI Facilities and Resources:</w:t>
      </w:r>
    </w:p>
    <w:p w:rsidR="003B3578" w:rsidRPr="00C35FFA" w:rsidRDefault="003B3578" w:rsidP="00B677C5">
      <w:pPr>
        <w:pStyle w:val="ListParagraph"/>
        <w:numPr>
          <w:ilvl w:val="0"/>
          <w:numId w:val="3"/>
        </w:numPr>
        <w:spacing w:line="252" w:lineRule="exact"/>
        <w:ind w:left="360"/>
        <w:jc w:val="both"/>
        <w:rPr>
          <w:color w:val="231F20"/>
        </w:rPr>
      </w:pPr>
      <w:r w:rsidRPr="00C35FFA">
        <w:rPr>
          <w:i/>
          <w:color w:val="231F20"/>
          <w:highlight w:val="yellow"/>
        </w:rPr>
        <w:t>XX</w:t>
      </w:r>
      <w:r w:rsidRPr="00C35FFA">
        <w:rPr>
          <w:i/>
          <w:color w:val="231F20"/>
        </w:rPr>
        <w:t xml:space="preserve"> PI’s Laboratory</w:t>
      </w:r>
      <w:r w:rsidRPr="00C35FFA">
        <w:rPr>
          <w:b/>
          <w:color w:val="231F20"/>
        </w:rPr>
        <w:t xml:space="preserve">:  </w:t>
      </w:r>
      <w:r w:rsidRPr="00C35FFA">
        <w:rPr>
          <w:color w:val="231F20"/>
        </w:rPr>
        <w:t xml:space="preserve">The facilities designated to Professor </w:t>
      </w:r>
      <w:r w:rsidRPr="00C35FFA">
        <w:rPr>
          <w:color w:val="231F20"/>
          <w:highlight w:val="yellow"/>
        </w:rPr>
        <w:t>XX</w:t>
      </w:r>
      <w:r w:rsidRPr="00C35FFA">
        <w:rPr>
          <w:color w:val="231F20"/>
        </w:rPr>
        <w:t xml:space="preserve"> includes </w:t>
      </w:r>
      <w:r w:rsidRPr="00C35FFA">
        <w:rPr>
          <w:color w:val="231F20"/>
          <w:highlight w:val="yellow"/>
        </w:rPr>
        <w:t>---</w:t>
      </w:r>
      <w:r w:rsidRPr="00C35FFA">
        <w:rPr>
          <w:color w:val="231F20"/>
        </w:rPr>
        <w:t xml:space="preserve"> sq. </w:t>
      </w:r>
      <w:proofErr w:type="spellStart"/>
      <w:r w:rsidRPr="00C35FFA">
        <w:rPr>
          <w:color w:val="231F20"/>
        </w:rPr>
        <w:t>ft</w:t>
      </w:r>
      <w:proofErr w:type="spellEnd"/>
      <w:r w:rsidRPr="00C35FFA">
        <w:rPr>
          <w:color w:val="231F20"/>
        </w:rPr>
        <w:t xml:space="preserve"> of laboratory space in </w:t>
      </w:r>
      <w:r w:rsidRPr="00C35FFA">
        <w:rPr>
          <w:color w:val="231F20"/>
          <w:highlight w:val="yellow"/>
        </w:rPr>
        <w:t>*state building and room number.</w:t>
      </w:r>
      <w:proofErr w:type="gramStart"/>
      <w:r w:rsidRPr="00C35FFA">
        <w:rPr>
          <w:color w:val="231F20"/>
          <w:highlight w:val="yellow"/>
        </w:rPr>
        <w:t>*</w:t>
      </w:r>
      <w:r w:rsidRPr="00C35FFA">
        <w:rPr>
          <w:color w:val="231F20"/>
        </w:rPr>
        <w:t xml:space="preserve">  The</w:t>
      </w:r>
      <w:proofErr w:type="gramEnd"/>
      <w:r w:rsidRPr="00C35FFA">
        <w:rPr>
          <w:color w:val="231F20"/>
        </w:rPr>
        <w:t xml:space="preserve"> lab includes </w:t>
      </w:r>
      <w:r w:rsidRPr="00C35FFA">
        <w:rPr>
          <w:color w:val="231F20"/>
          <w:highlight w:val="yellow"/>
        </w:rPr>
        <w:t>*describe lab and all its features.*</w:t>
      </w:r>
    </w:p>
    <w:p w:rsidR="00C35FFA" w:rsidRDefault="00C35FFA" w:rsidP="00B677C5">
      <w:pPr>
        <w:spacing w:line="252" w:lineRule="exact"/>
        <w:jc w:val="both"/>
        <w:rPr>
          <w:color w:val="231F20"/>
        </w:rPr>
      </w:pPr>
    </w:p>
    <w:p w:rsidR="00C35FFA" w:rsidRDefault="00C35FFA" w:rsidP="00B677C5">
      <w:pPr>
        <w:pStyle w:val="ListParagraph"/>
        <w:numPr>
          <w:ilvl w:val="0"/>
          <w:numId w:val="2"/>
        </w:numPr>
        <w:spacing w:line="252" w:lineRule="exact"/>
        <w:ind w:left="360"/>
        <w:jc w:val="both"/>
      </w:pPr>
      <w:r w:rsidRPr="00C35FFA">
        <w:rPr>
          <w:i/>
        </w:rPr>
        <w:t>Computer</w:t>
      </w:r>
      <w:r w:rsidRPr="00C35FFA">
        <w:rPr>
          <w:b/>
        </w:rPr>
        <w:t xml:space="preserve">: </w:t>
      </w:r>
      <w:r>
        <w:t>Computer equipment include a shared office computer for word processing, data analysis, and image processing and dedicated computers operating equipment. UCI also has additional computer laboratories.</w:t>
      </w:r>
    </w:p>
    <w:p w:rsidR="00C35FFA" w:rsidRDefault="00C35FFA" w:rsidP="00B677C5">
      <w:pPr>
        <w:spacing w:line="252" w:lineRule="exact"/>
        <w:jc w:val="both"/>
        <w:rPr>
          <w:color w:val="231F20"/>
        </w:rPr>
      </w:pPr>
    </w:p>
    <w:p w:rsidR="00C35FFA" w:rsidRPr="00C35FFA" w:rsidRDefault="00C35FFA" w:rsidP="00B677C5">
      <w:pPr>
        <w:pStyle w:val="ListParagraph"/>
        <w:numPr>
          <w:ilvl w:val="0"/>
          <w:numId w:val="2"/>
        </w:numPr>
        <w:spacing w:line="252" w:lineRule="exact"/>
        <w:ind w:left="360"/>
        <w:jc w:val="both"/>
        <w:rPr>
          <w:color w:val="231F20"/>
        </w:rPr>
      </w:pPr>
      <w:r w:rsidRPr="00C35FFA">
        <w:rPr>
          <w:i/>
          <w:color w:val="231F20"/>
        </w:rPr>
        <w:t>Office</w:t>
      </w:r>
      <w:r w:rsidRPr="00C35FFA">
        <w:rPr>
          <w:b/>
          <w:color w:val="231F20"/>
        </w:rPr>
        <w:t xml:space="preserve">: </w:t>
      </w:r>
      <w:r w:rsidRPr="00C35FFA">
        <w:rPr>
          <w:color w:val="231F20"/>
        </w:rPr>
        <w:t xml:space="preserve">Dedicated faculty office space ~150 sq. ft. within the </w:t>
      </w:r>
      <w:r w:rsidRPr="00C35FFA">
        <w:rPr>
          <w:color w:val="231F20"/>
          <w:highlight w:val="yellow"/>
        </w:rPr>
        <w:t>---</w:t>
      </w:r>
      <w:r w:rsidRPr="00C35FFA">
        <w:rPr>
          <w:color w:val="231F20"/>
        </w:rPr>
        <w:t xml:space="preserve"> building. Desk space for students and researchers is included in the laboratory.</w:t>
      </w:r>
    </w:p>
    <w:p w:rsidR="003B3578" w:rsidRDefault="003B3578" w:rsidP="00B677C5">
      <w:pPr>
        <w:spacing w:line="252" w:lineRule="exact"/>
        <w:jc w:val="both"/>
        <w:rPr>
          <w:color w:val="231F20"/>
        </w:rPr>
      </w:pPr>
    </w:p>
    <w:p w:rsidR="003B3578" w:rsidRPr="003B3578" w:rsidRDefault="003B3578" w:rsidP="00B677C5">
      <w:pPr>
        <w:spacing w:line="252" w:lineRule="exact"/>
        <w:jc w:val="both"/>
        <w:rPr>
          <w:b/>
          <w:color w:val="231F20"/>
          <w:u w:val="single"/>
        </w:rPr>
      </w:pPr>
      <w:r w:rsidRPr="003B3578">
        <w:rPr>
          <w:b/>
          <w:color w:val="231F20"/>
          <w:u w:val="single"/>
        </w:rPr>
        <w:t>Shared Facilities</w:t>
      </w:r>
      <w:r>
        <w:rPr>
          <w:b/>
          <w:color w:val="231F20"/>
          <w:u w:val="single"/>
        </w:rPr>
        <w:t xml:space="preserve"> (recharge rates apply)</w:t>
      </w:r>
      <w:r w:rsidRPr="003B3578">
        <w:rPr>
          <w:b/>
          <w:color w:val="231F20"/>
          <w:u w:val="single"/>
        </w:rPr>
        <w:t>:</w:t>
      </w:r>
    </w:p>
    <w:p w:rsidR="00F40901" w:rsidRDefault="005F7FDD" w:rsidP="00B677C5">
      <w:pPr>
        <w:jc w:val="both"/>
      </w:pPr>
      <w:proofErr w:type="spellStart"/>
      <w:r>
        <w:rPr>
          <w:b/>
          <w:color w:val="231F20"/>
        </w:rPr>
        <w:t>RapidTech</w:t>
      </w:r>
      <w:proofErr w:type="spellEnd"/>
      <w:r>
        <w:rPr>
          <w:b/>
          <w:color w:val="231F20"/>
        </w:rPr>
        <w:t xml:space="preserve"> Laboratory: </w:t>
      </w:r>
      <w:proofErr w:type="spellStart"/>
      <w:r>
        <w:rPr>
          <w:color w:val="231F20"/>
        </w:rPr>
        <w:t>RapidTech</w:t>
      </w:r>
      <w:proofErr w:type="spellEnd"/>
      <w:r>
        <w:rPr>
          <w:color w:val="231F20"/>
        </w:rPr>
        <w:t>, a National Center for Rapid Technologies, has teaching and demonstration lab capabilities in 445 Engineering Tower at UC Irvine.</w:t>
      </w:r>
    </w:p>
    <w:p w:rsidR="00CB568B" w:rsidRDefault="00CB568B" w:rsidP="00B677C5">
      <w:pPr>
        <w:spacing w:line="252" w:lineRule="exact"/>
        <w:jc w:val="both"/>
        <w:rPr>
          <w:color w:val="231F20"/>
          <w:u w:val="single" w:color="231F20"/>
        </w:rPr>
      </w:pPr>
    </w:p>
    <w:p w:rsidR="00F40901" w:rsidRDefault="005F7FDD" w:rsidP="00B677C5">
      <w:pPr>
        <w:spacing w:line="252" w:lineRule="exact"/>
        <w:jc w:val="both"/>
      </w:pPr>
      <w:r>
        <w:rPr>
          <w:color w:val="231F20"/>
          <w:u w:val="single" w:color="231F20"/>
        </w:rPr>
        <w:t>Available Equipment:</w:t>
      </w:r>
    </w:p>
    <w:p w:rsidR="00F40901" w:rsidRDefault="005F7FDD" w:rsidP="00B677C5">
      <w:pPr>
        <w:pStyle w:val="ListParagraph"/>
        <w:numPr>
          <w:ilvl w:val="2"/>
          <w:numId w:val="1"/>
        </w:numPr>
        <w:tabs>
          <w:tab w:val="left" w:pos="1780"/>
        </w:tabs>
        <w:spacing w:line="252" w:lineRule="exact"/>
        <w:ind w:left="359" w:hanging="359"/>
      </w:pPr>
      <w:r>
        <w:rPr>
          <w:color w:val="231F20"/>
        </w:rPr>
        <w:t xml:space="preserve">SONY SCS-8000 and 3D Systems SLA 250/50 </w:t>
      </w:r>
      <w:proofErr w:type="spellStart"/>
      <w:r>
        <w:rPr>
          <w:color w:val="231F20"/>
        </w:rPr>
        <w:t>Stereolithography</w:t>
      </w:r>
      <w:proofErr w:type="spellEnd"/>
      <w:r>
        <w:rPr>
          <w:color w:val="231F20"/>
          <w:spacing w:val="-1"/>
        </w:rPr>
        <w:t xml:space="preserve"> </w:t>
      </w:r>
      <w:r>
        <w:rPr>
          <w:color w:val="231F20"/>
        </w:rPr>
        <w:t>Systems</w:t>
      </w:r>
    </w:p>
    <w:p w:rsidR="00F40901" w:rsidRDefault="005F7FDD" w:rsidP="00B677C5">
      <w:pPr>
        <w:pStyle w:val="ListParagraph"/>
        <w:numPr>
          <w:ilvl w:val="2"/>
          <w:numId w:val="1"/>
        </w:numPr>
        <w:tabs>
          <w:tab w:val="left" w:pos="1780"/>
        </w:tabs>
        <w:ind w:left="359" w:hanging="359"/>
      </w:pPr>
      <w:r>
        <w:rPr>
          <w:color w:val="231F20"/>
        </w:rPr>
        <w:t xml:space="preserve">DTM </w:t>
      </w:r>
      <w:proofErr w:type="spellStart"/>
      <w:r>
        <w:rPr>
          <w:color w:val="231F20"/>
        </w:rPr>
        <w:t>Sinterstation</w:t>
      </w:r>
      <w:proofErr w:type="spellEnd"/>
      <w:r>
        <w:rPr>
          <w:color w:val="231F20"/>
        </w:rPr>
        <w:t xml:space="preserve"> 2000 Selective Laser Sintering</w:t>
      </w:r>
      <w:r>
        <w:rPr>
          <w:color w:val="231F20"/>
          <w:spacing w:val="-1"/>
        </w:rPr>
        <w:t xml:space="preserve"> </w:t>
      </w:r>
      <w:r>
        <w:rPr>
          <w:color w:val="231F20"/>
        </w:rPr>
        <w:t>System</w:t>
      </w:r>
    </w:p>
    <w:p w:rsidR="00F40901" w:rsidRDefault="005F7FDD" w:rsidP="00B677C5">
      <w:pPr>
        <w:pStyle w:val="ListParagraph"/>
        <w:numPr>
          <w:ilvl w:val="2"/>
          <w:numId w:val="1"/>
        </w:numPr>
        <w:tabs>
          <w:tab w:val="left" w:pos="1780"/>
        </w:tabs>
        <w:ind w:left="360"/>
      </w:pPr>
      <w:proofErr w:type="spellStart"/>
      <w:r>
        <w:rPr>
          <w:color w:val="231F20"/>
        </w:rPr>
        <w:t>Tousimis</w:t>
      </w:r>
      <w:proofErr w:type="spellEnd"/>
      <w:r>
        <w:rPr>
          <w:color w:val="231F20"/>
        </w:rPr>
        <w:t xml:space="preserve"> Supercritical Point Dryer</w:t>
      </w:r>
      <w:r>
        <w:rPr>
          <w:color w:val="231F20"/>
          <w:spacing w:val="-1"/>
        </w:rPr>
        <w:t xml:space="preserve"> </w:t>
      </w:r>
      <w:r>
        <w:rPr>
          <w:color w:val="231F20"/>
        </w:rPr>
        <w:t>System</w:t>
      </w:r>
    </w:p>
    <w:p w:rsidR="00F40901" w:rsidRDefault="005F7FDD" w:rsidP="00B677C5">
      <w:pPr>
        <w:pStyle w:val="ListParagraph"/>
        <w:numPr>
          <w:ilvl w:val="2"/>
          <w:numId w:val="1"/>
        </w:numPr>
        <w:tabs>
          <w:tab w:val="left" w:pos="1780"/>
        </w:tabs>
        <w:ind w:left="360"/>
      </w:pPr>
      <w:proofErr w:type="spellStart"/>
      <w:r>
        <w:rPr>
          <w:color w:val="231F20"/>
        </w:rPr>
        <w:t>ZCorporation</w:t>
      </w:r>
      <w:proofErr w:type="spellEnd"/>
      <w:r>
        <w:rPr>
          <w:color w:val="231F20"/>
        </w:rPr>
        <w:t xml:space="preserve"> Spectrum 510 and Z310 3D Printing</w:t>
      </w:r>
      <w:r>
        <w:rPr>
          <w:color w:val="231F20"/>
          <w:spacing w:val="-7"/>
        </w:rPr>
        <w:t xml:space="preserve"> </w:t>
      </w:r>
      <w:r>
        <w:rPr>
          <w:color w:val="231F20"/>
        </w:rPr>
        <w:t>Systems</w:t>
      </w:r>
    </w:p>
    <w:p w:rsidR="00F40901" w:rsidRDefault="005F7FDD" w:rsidP="00B677C5">
      <w:pPr>
        <w:pStyle w:val="ListParagraph"/>
        <w:numPr>
          <w:ilvl w:val="2"/>
          <w:numId w:val="1"/>
        </w:numPr>
        <w:tabs>
          <w:tab w:val="left" w:pos="1780"/>
        </w:tabs>
        <w:ind w:left="360"/>
      </w:pPr>
      <w:r>
        <w:rPr>
          <w:color w:val="231F20"/>
        </w:rPr>
        <w:t>Dimension SST 1200es Fused Deposition</w:t>
      </w:r>
      <w:r>
        <w:rPr>
          <w:color w:val="231F20"/>
          <w:spacing w:val="-28"/>
        </w:rPr>
        <w:t xml:space="preserve"> </w:t>
      </w:r>
      <w:r>
        <w:rPr>
          <w:color w:val="231F20"/>
        </w:rPr>
        <w:t>Modeling</w:t>
      </w:r>
    </w:p>
    <w:p w:rsidR="00F40901" w:rsidRDefault="005F7FDD" w:rsidP="00B677C5">
      <w:pPr>
        <w:pStyle w:val="ListParagraph"/>
        <w:numPr>
          <w:ilvl w:val="2"/>
          <w:numId w:val="1"/>
        </w:numPr>
        <w:tabs>
          <w:tab w:val="left" w:pos="1780"/>
        </w:tabs>
        <w:spacing w:line="253" w:lineRule="exact"/>
        <w:ind w:left="360"/>
      </w:pPr>
      <w:r>
        <w:rPr>
          <w:color w:val="231F20"/>
        </w:rPr>
        <w:t xml:space="preserve">3D Systems </w:t>
      </w:r>
      <w:proofErr w:type="spellStart"/>
      <w:r>
        <w:rPr>
          <w:color w:val="231F20"/>
        </w:rPr>
        <w:t>Thermojet</w:t>
      </w:r>
      <w:proofErr w:type="spellEnd"/>
      <w:r>
        <w:rPr>
          <w:color w:val="231F20"/>
        </w:rPr>
        <w:t xml:space="preserve"> Multi Jet Modeling</w:t>
      </w:r>
    </w:p>
    <w:p w:rsidR="00F40901" w:rsidRDefault="005F7FDD" w:rsidP="00B677C5">
      <w:pPr>
        <w:pStyle w:val="ListParagraph"/>
        <w:numPr>
          <w:ilvl w:val="2"/>
          <w:numId w:val="1"/>
        </w:numPr>
        <w:tabs>
          <w:tab w:val="left" w:pos="1780"/>
        </w:tabs>
        <w:spacing w:line="253" w:lineRule="exact"/>
        <w:ind w:left="360"/>
      </w:pPr>
      <w:proofErr w:type="spellStart"/>
      <w:r>
        <w:rPr>
          <w:color w:val="231F20"/>
        </w:rPr>
        <w:t>EnvisionTec</w:t>
      </w:r>
      <w:proofErr w:type="spellEnd"/>
      <w:r>
        <w:rPr>
          <w:color w:val="231F20"/>
        </w:rPr>
        <w:t xml:space="preserve"> </w:t>
      </w:r>
      <w:proofErr w:type="spellStart"/>
      <w:r>
        <w:rPr>
          <w:color w:val="231F20"/>
        </w:rPr>
        <w:t>Perfactory</w:t>
      </w:r>
      <w:proofErr w:type="spellEnd"/>
      <w:r>
        <w:rPr>
          <w:color w:val="231F20"/>
        </w:rPr>
        <w:t xml:space="preserve"> Digital Light</w:t>
      </w:r>
      <w:r>
        <w:rPr>
          <w:color w:val="231F20"/>
          <w:spacing w:val="-1"/>
        </w:rPr>
        <w:t xml:space="preserve"> </w:t>
      </w:r>
      <w:r>
        <w:rPr>
          <w:color w:val="231F20"/>
        </w:rPr>
        <w:t>Projector</w:t>
      </w:r>
    </w:p>
    <w:p w:rsidR="00F40901" w:rsidRDefault="005F7FDD" w:rsidP="00B677C5">
      <w:pPr>
        <w:pStyle w:val="ListParagraph"/>
        <w:numPr>
          <w:ilvl w:val="2"/>
          <w:numId w:val="1"/>
        </w:numPr>
        <w:tabs>
          <w:tab w:val="left" w:pos="1780"/>
        </w:tabs>
        <w:ind w:left="360"/>
      </w:pPr>
      <w:r>
        <w:rPr>
          <w:color w:val="231F20"/>
        </w:rPr>
        <w:t>Pinnacle M-25 Laser</w:t>
      </w:r>
      <w:r>
        <w:rPr>
          <w:color w:val="231F20"/>
          <w:spacing w:val="-1"/>
        </w:rPr>
        <w:t xml:space="preserve"> </w:t>
      </w:r>
      <w:r>
        <w:rPr>
          <w:color w:val="231F20"/>
        </w:rPr>
        <w:t>Cutter/Engraver</w:t>
      </w:r>
    </w:p>
    <w:p w:rsidR="00F40901" w:rsidRDefault="005F7FDD" w:rsidP="00B677C5">
      <w:pPr>
        <w:pStyle w:val="ListParagraph"/>
        <w:numPr>
          <w:ilvl w:val="2"/>
          <w:numId w:val="1"/>
        </w:numPr>
        <w:tabs>
          <w:tab w:val="left" w:pos="1780"/>
        </w:tabs>
        <w:ind w:left="360"/>
      </w:pPr>
      <w:proofErr w:type="spellStart"/>
      <w:r>
        <w:rPr>
          <w:color w:val="231F20"/>
        </w:rPr>
        <w:t>NextEngine</w:t>
      </w:r>
      <w:proofErr w:type="spellEnd"/>
      <w:r>
        <w:rPr>
          <w:color w:val="231F20"/>
        </w:rPr>
        <w:t xml:space="preserve">, </w:t>
      </w:r>
      <w:proofErr w:type="spellStart"/>
      <w:r>
        <w:rPr>
          <w:color w:val="231F20"/>
        </w:rPr>
        <w:t>Zscan</w:t>
      </w:r>
      <w:proofErr w:type="spellEnd"/>
      <w:r>
        <w:rPr>
          <w:color w:val="231F20"/>
        </w:rPr>
        <w:t xml:space="preserve"> Z700, and VIVID 910 Konica-Minolta Laser</w:t>
      </w:r>
      <w:r>
        <w:rPr>
          <w:color w:val="231F20"/>
          <w:spacing w:val="-8"/>
        </w:rPr>
        <w:t xml:space="preserve"> </w:t>
      </w:r>
      <w:r>
        <w:rPr>
          <w:color w:val="231F20"/>
        </w:rPr>
        <w:t>Scanners</w:t>
      </w:r>
    </w:p>
    <w:p w:rsidR="00F40901" w:rsidRDefault="005F7FDD" w:rsidP="00B677C5">
      <w:pPr>
        <w:pStyle w:val="ListParagraph"/>
        <w:numPr>
          <w:ilvl w:val="2"/>
          <w:numId w:val="1"/>
        </w:numPr>
        <w:tabs>
          <w:tab w:val="left" w:pos="1780"/>
        </w:tabs>
        <w:ind w:left="360"/>
      </w:pPr>
      <w:r>
        <w:rPr>
          <w:color w:val="231F20"/>
        </w:rPr>
        <w:t>Techno LC 3024 CNC</w:t>
      </w:r>
      <w:r>
        <w:rPr>
          <w:color w:val="231F20"/>
          <w:spacing w:val="-1"/>
        </w:rPr>
        <w:t xml:space="preserve"> </w:t>
      </w:r>
      <w:r>
        <w:rPr>
          <w:color w:val="231F20"/>
        </w:rPr>
        <w:t>Router</w:t>
      </w:r>
    </w:p>
    <w:p w:rsidR="00F40901" w:rsidRDefault="005F7FDD" w:rsidP="00B677C5">
      <w:pPr>
        <w:pStyle w:val="ListParagraph"/>
        <w:numPr>
          <w:ilvl w:val="2"/>
          <w:numId w:val="1"/>
        </w:numPr>
        <w:tabs>
          <w:tab w:val="left" w:pos="1780"/>
        </w:tabs>
        <w:ind w:left="360"/>
      </w:pPr>
      <w:r>
        <w:rPr>
          <w:color w:val="231F20"/>
        </w:rPr>
        <w:t>Compact MIDI 320 Vacuum</w:t>
      </w:r>
      <w:r>
        <w:rPr>
          <w:color w:val="231F20"/>
          <w:spacing w:val="-3"/>
        </w:rPr>
        <w:t xml:space="preserve"> </w:t>
      </w:r>
      <w:r>
        <w:rPr>
          <w:color w:val="231F20"/>
        </w:rPr>
        <w:t>Forming</w:t>
      </w:r>
    </w:p>
    <w:p w:rsidR="00F40901" w:rsidRDefault="00F40901" w:rsidP="00B677C5">
      <w:pPr>
        <w:pStyle w:val="BodyText"/>
      </w:pPr>
    </w:p>
    <w:p w:rsidR="00F40901" w:rsidRDefault="005F7FDD" w:rsidP="00B677C5">
      <w:pPr>
        <w:jc w:val="both"/>
      </w:pPr>
      <w:r>
        <w:rPr>
          <w:b/>
          <w:color w:val="231F20"/>
        </w:rPr>
        <w:t xml:space="preserve">Laboratory for Electron and X-ray Instrumentation (LEXI): </w:t>
      </w:r>
      <w:r>
        <w:rPr>
          <w:color w:val="231F20"/>
        </w:rPr>
        <w:t xml:space="preserve">LEXI is the organization that trains, teaches, and promotes materials characterization on campus. LEXI also actively manages and maintains the instruments and sample preparation equipment in </w:t>
      </w:r>
      <w:r>
        <w:rPr>
          <w:i/>
          <w:color w:val="231F20"/>
        </w:rPr>
        <w:t xml:space="preserve">Calit2 </w:t>
      </w:r>
      <w:r>
        <w:rPr>
          <w:color w:val="231F20"/>
        </w:rPr>
        <w:t>and MC</w:t>
      </w:r>
      <w:r>
        <w:rPr>
          <w:color w:val="231F20"/>
          <w:vertAlign w:val="superscript"/>
        </w:rPr>
        <w:t>2</w:t>
      </w:r>
      <w:r>
        <w:rPr>
          <w:color w:val="231F20"/>
        </w:rPr>
        <w:t xml:space="preserve"> (instrument descriptions below in corresponding sections). Eligible users reserve time on all instruments through the LEXI website, and the facility is available for use by undergraduate classes. LEXI staff include two Ph.D. level staff members who oversee all activities within the </w:t>
      </w:r>
      <w:r>
        <w:rPr>
          <w:i/>
          <w:color w:val="231F20"/>
        </w:rPr>
        <w:t xml:space="preserve">LEXI </w:t>
      </w:r>
      <w:r>
        <w:rPr>
          <w:color w:val="231F20"/>
        </w:rPr>
        <w:t xml:space="preserve">facility: Dr. Jian-Guo Zheng, with expertise in SEM and TEM, </w:t>
      </w:r>
      <w:r>
        <w:rPr>
          <w:color w:val="231F20"/>
        </w:rPr>
        <w:lastRenderedPageBreak/>
        <w:t xml:space="preserve">and Dr. </w:t>
      </w:r>
      <w:proofErr w:type="spellStart"/>
      <w:r>
        <w:rPr>
          <w:color w:val="231F20"/>
        </w:rPr>
        <w:t>Qiyin</w:t>
      </w:r>
      <w:proofErr w:type="spellEnd"/>
      <w:r>
        <w:rPr>
          <w:color w:val="231F20"/>
        </w:rPr>
        <w:t xml:space="preserve"> Lin, with expertise in XRD and UHV surface analysis.</w:t>
      </w:r>
    </w:p>
    <w:p w:rsidR="00F40901" w:rsidRDefault="00F40901" w:rsidP="00B677C5">
      <w:pPr>
        <w:pStyle w:val="BodyText"/>
        <w:rPr>
          <w:sz w:val="22"/>
        </w:rPr>
      </w:pPr>
    </w:p>
    <w:p w:rsidR="00F40901" w:rsidRDefault="005F7FDD" w:rsidP="00B677C5">
      <w:pPr>
        <w:jc w:val="both"/>
      </w:pPr>
      <w:r>
        <w:rPr>
          <w:b/>
          <w:color w:val="231F20"/>
        </w:rPr>
        <w:t>The California Institute for Telecommunications and Information Technologies (</w:t>
      </w:r>
      <w:r>
        <w:rPr>
          <w:b/>
          <w:i/>
          <w:color w:val="231F20"/>
        </w:rPr>
        <w:t>Calit2</w:t>
      </w:r>
      <w:r>
        <w:rPr>
          <w:b/>
          <w:color w:val="231F20"/>
        </w:rPr>
        <w:t xml:space="preserve">) Facility: </w:t>
      </w:r>
      <w:r>
        <w:rPr>
          <w:i/>
          <w:color w:val="231F20"/>
        </w:rPr>
        <w:t xml:space="preserve">Calit2 </w:t>
      </w:r>
      <w:r>
        <w:rPr>
          <w:color w:val="231F20"/>
        </w:rPr>
        <w:t xml:space="preserve">is a multi-disciplinary building that houses nanoscale device, semiconductor and materials processing and characterization facilities, including a Scanning Electron Microscope (SEM) and an FEI Quanta 3D FEG SEM/FIB (Focused Ion Beam). </w:t>
      </w:r>
      <w:r>
        <w:rPr>
          <w:i/>
          <w:color w:val="231F20"/>
        </w:rPr>
        <w:t xml:space="preserve">Calit2 </w:t>
      </w:r>
      <w:r>
        <w:rPr>
          <w:color w:val="231F20"/>
        </w:rPr>
        <w:t>has a 3,700 sq. ft. Class 1000 cleanroom and BioMEMS and NEMS laboratories.</w:t>
      </w:r>
    </w:p>
    <w:p w:rsidR="00F40901" w:rsidRDefault="00F40901" w:rsidP="00B677C5">
      <w:pPr>
        <w:pStyle w:val="BodyText"/>
      </w:pPr>
    </w:p>
    <w:p w:rsidR="00F40901" w:rsidRDefault="005F7FDD" w:rsidP="00B677C5">
      <w:pPr>
        <w:ind w:hanging="1"/>
        <w:jc w:val="both"/>
        <w:rPr>
          <w:color w:val="231F20"/>
        </w:rPr>
      </w:pPr>
      <w:r>
        <w:rPr>
          <w:b/>
          <w:color w:val="231F20"/>
        </w:rPr>
        <w:t>Materials Characterization Center (MC</w:t>
      </w:r>
      <w:r>
        <w:rPr>
          <w:b/>
          <w:color w:val="231F20"/>
          <w:vertAlign w:val="superscript"/>
        </w:rPr>
        <w:t>2</w:t>
      </w:r>
      <w:r>
        <w:rPr>
          <w:b/>
          <w:color w:val="231F20"/>
        </w:rPr>
        <w:t xml:space="preserve">): </w:t>
      </w:r>
      <w:r>
        <w:rPr>
          <w:color w:val="231F20"/>
        </w:rPr>
        <w:t>MC</w:t>
      </w:r>
      <w:r>
        <w:rPr>
          <w:color w:val="231F20"/>
          <w:vertAlign w:val="superscript"/>
        </w:rPr>
        <w:t>2</w:t>
      </w:r>
      <w:r>
        <w:rPr>
          <w:color w:val="231F20"/>
        </w:rPr>
        <w:t xml:space="preserve"> is a university-wide user facility for the micro- structural and micro-chemical characterization of materials and is located in the Engineering Tower. The center has transmission and scanning electron microscopy, sample preparation, X-ray diffraction, optical microscopy, and dark room facilities.</w:t>
      </w:r>
    </w:p>
    <w:p w:rsidR="00FD07AE" w:rsidRDefault="00FD07AE" w:rsidP="00B677C5">
      <w:pPr>
        <w:ind w:hanging="1"/>
        <w:jc w:val="both"/>
      </w:pPr>
    </w:p>
    <w:p w:rsidR="00F40901" w:rsidRDefault="005F7FDD" w:rsidP="00B677C5">
      <w:pPr>
        <w:jc w:val="both"/>
        <w:rPr>
          <w:color w:val="231F20"/>
        </w:rPr>
      </w:pPr>
      <w:r>
        <w:rPr>
          <w:b/>
          <w:color w:val="231F20"/>
        </w:rPr>
        <w:t xml:space="preserve">Nanofabrication Research Facilities and Equipment (INRF): </w:t>
      </w:r>
      <w:r>
        <w:rPr>
          <w:color w:val="231F20"/>
        </w:rPr>
        <w:t xml:space="preserve">The INRF is a well-equipped facility connected to the </w:t>
      </w:r>
      <w:r>
        <w:rPr>
          <w:i/>
          <w:color w:val="231F20"/>
        </w:rPr>
        <w:t xml:space="preserve">Calit2 </w:t>
      </w:r>
      <w:r>
        <w:rPr>
          <w:color w:val="231F20"/>
        </w:rPr>
        <w:t xml:space="preserve">building and dedicated to the research and development of technology for integrated micro and </w:t>
      </w:r>
      <w:proofErr w:type="spellStart"/>
      <w:r>
        <w:rPr>
          <w:color w:val="231F20"/>
        </w:rPr>
        <w:t>nanosystems</w:t>
      </w:r>
      <w:proofErr w:type="spellEnd"/>
      <w:r>
        <w:rPr>
          <w:color w:val="231F20"/>
        </w:rPr>
        <w:t>. It has an 8,600 square foot class 100/1,000/10,000 clean room and equipment for photolithography, thin-film deposition and material growth, dry and wet etching, packaging, and sample preparation as well as ovens and analytical</w:t>
      </w:r>
      <w:r>
        <w:rPr>
          <w:color w:val="231F20"/>
          <w:spacing w:val="-4"/>
        </w:rPr>
        <w:t xml:space="preserve"> </w:t>
      </w:r>
      <w:r>
        <w:rPr>
          <w:color w:val="231F20"/>
        </w:rPr>
        <w:t>equipment.</w:t>
      </w:r>
    </w:p>
    <w:p w:rsidR="003F6350" w:rsidRDefault="003F6350" w:rsidP="00B677C5">
      <w:pPr>
        <w:jc w:val="both"/>
      </w:pPr>
    </w:p>
    <w:p w:rsidR="003F6350" w:rsidRDefault="003F6350" w:rsidP="00B677C5">
      <w:pPr>
        <w:jc w:val="both"/>
      </w:pPr>
      <w:r w:rsidRPr="003F6350">
        <w:rPr>
          <w:b/>
          <w:bCs/>
        </w:rPr>
        <w:t>Center for Transmission Electron Microscopy at UC Irvine Mate</w:t>
      </w:r>
      <w:r>
        <w:rPr>
          <w:b/>
          <w:bCs/>
        </w:rPr>
        <w:t xml:space="preserve">rials Research Institute (IMRI):  </w:t>
      </w:r>
      <w:r w:rsidRPr="003F6350">
        <w:t xml:space="preserve">UCI has purchased five major instruments, which include four unique TEMs and a dual-beam focused ion beam (FIB) system. IMRI is the first research lab in the Americas with the newly introduced JEOL Grand ARM and </w:t>
      </w:r>
      <w:proofErr w:type="spellStart"/>
      <w:r w:rsidRPr="003F6350">
        <w:t>Nion</w:t>
      </w:r>
      <w:proofErr w:type="spellEnd"/>
      <w:r w:rsidRPr="003F6350">
        <w:t xml:space="preserve"> </w:t>
      </w:r>
      <w:proofErr w:type="spellStart"/>
      <w:r w:rsidRPr="003F6350">
        <w:t>Monochromated</w:t>
      </w:r>
      <w:proofErr w:type="spellEnd"/>
      <w:r w:rsidRPr="003F6350">
        <w:t xml:space="preserve"> </w:t>
      </w:r>
      <w:proofErr w:type="spellStart"/>
      <w:r w:rsidRPr="003F6350">
        <w:t>UltraSTEM</w:t>
      </w:r>
      <w:proofErr w:type="spellEnd"/>
      <w:r w:rsidRPr="003F6350">
        <w:t xml:space="preserve"> HERMES200, which exceed the atomic resolution boundaries of any commercially available TEM today. All instruments have recently been installed in the new TEM facilities at IMRI. </w:t>
      </w:r>
    </w:p>
    <w:p w:rsidR="003F6350" w:rsidRDefault="003F6350" w:rsidP="00B677C5">
      <w:pPr>
        <w:jc w:val="both"/>
      </w:pPr>
    </w:p>
    <w:p w:rsidR="003F6350" w:rsidRPr="00575442" w:rsidRDefault="003F6350" w:rsidP="00B677C5">
      <w:pPr>
        <w:jc w:val="both"/>
        <w:rPr>
          <w:b/>
          <w:sz w:val="24"/>
          <w:szCs w:val="24"/>
          <w:u w:val="single"/>
        </w:rPr>
      </w:pPr>
      <w:r w:rsidRPr="00575442">
        <w:rPr>
          <w:b/>
          <w:sz w:val="24"/>
          <w:szCs w:val="24"/>
          <w:u w:val="single"/>
        </w:rPr>
        <w:t>Other Resources</w:t>
      </w:r>
    </w:p>
    <w:p w:rsidR="003F6350" w:rsidRPr="00C35FFA" w:rsidRDefault="003F6350" w:rsidP="00B677C5">
      <w:pPr>
        <w:jc w:val="both"/>
        <w:rPr>
          <w:i/>
        </w:rPr>
      </w:pPr>
      <w:r w:rsidRPr="00C35FFA">
        <w:rPr>
          <w:i/>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rsidR="003F6350" w:rsidRDefault="003F6350" w:rsidP="00B677C5">
      <w:pPr>
        <w:jc w:val="both"/>
      </w:pPr>
    </w:p>
    <w:p w:rsidR="003F6350" w:rsidRDefault="003F6350" w:rsidP="00B677C5">
      <w:pPr>
        <w:jc w:val="both"/>
      </w:pPr>
      <w:r w:rsidRPr="003F6350">
        <w:rPr>
          <w:b/>
        </w:rPr>
        <w:t>Unfunded Collaborators:</w:t>
      </w:r>
      <w:r>
        <w:t xml:space="preserve">  Please note that any substantial collaboration with individuals not included in the budget should be described here and documented in a letter of commitment from each collaborator should be provided (see PAPPG II.C.2.d.iv).  </w:t>
      </w:r>
    </w:p>
    <w:p w:rsidR="003F6350" w:rsidRDefault="003F6350" w:rsidP="00B677C5">
      <w:pPr>
        <w:jc w:val="both"/>
      </w:pPr>
    </w:p>
    <w:p w:rsidR="003F6350" w:rsidRDefault="003F6350" w:rsidP="00B677C5">
      <w:pPr>
        <w:jc w:val="both"/>
      </w:pPr>
      <w:r w:rsidRPr="003F6350">
        <w:rPr>
          <w:b/>
        </w:rPr>
        <w:t>Senior Personnel:</w:t>
      </w:r>
      <w:r>
        <w:t xml:space="preserve">  If no person months and no salary are being requested for Senior Personnel, they should be removed from Section A of the budget. Their name(s) will remain on the Cover Sheet and the individual(s) role on the project should be briefly described here (see PAPPG Section II.C.2.g.c)  </w:t>
      </w:r>
    </w:p>
    <w:p w:rsidR="003F6350" w:rsidRDefault="003F6350" w:rsidP="00B677C5">
      <w:pPr>
        <w:jc w:val="both"/>
      </w:pPr>
    </w:p>
    <w:p w:rsidR="003F6350" w:rsidRPr="003F6350" w:rsidRDefault="003F6350" w:rsidP="00B677C5">
      <w:pPr>
        <w:jc w:val="both"/>
      </w:pPr>
    </w:p>
    <w:p w:rsidR="00F40901" w:rsidRDefault="00F40901" w:rsidP="00B677C5">
      <w:pPr>
        <w:jc w:val="both"/>
      </w:pPr>
    </w:p>
    <w:p w:rsidR="003F6350" w:rsidRDefault="003F6350" w:rsidP="00B677C5">
      <w:pPr>
        <w:jc w:val="both"/>
      </w:pPr>
    </w:p>
    <w:p w:rsidR="003F6350" w:rsidRDefault="003F6350" w:rsidP="00B677C5">
      <w:pPr>
        <w:jc w:val="both"/>
        <w:sectPr w:rsidR="003F6350" w:rsidSect="00B677C5">
          <w:footerReference w:type="default" r:id="rId8"/>
          <w:pgSz w:w="12240" w:h="15840"/>
          <w:pgMar w:top="1440" w:right="1440" w:bottom="1440" w:left="1440" w:header="720" w:footer="720" w:gutter="0"/>
          <w:cols w:space="720"/>
          <w:docGrid w:linePitch="299"/>
        </w:sectPr>
      </w:pPr>
    </w:p>
    <w:p w:rsidR="00F40901" w:rsidRDefault="00F40901" w:rsidP="00B677C5">
      <w:pPr>
        <w:pStyle w:val="BodyText"/>
        <w:rPr>
          <w:sz w:val="38"/>
        </w:rPr>
      </w:pPr>
    </w:p>
    <w:p w:rsidR="00F40901" w:rsidRDefault="00F40901" w:rsidP="00B677C5">
      <w:pPr>
        <w:jc w:val="both"/>
        <w:rPr>
          <w:sz w:val="24"/>
        </w:rPr>
      </w:pPr>
    </w:p>
    <w:sectPr w:rsidR="00F40901">
      <w:type w:val="continuous"/>
      <w:pgSz w:w="12240" w:h="15840"/>
      <w:pgMar w:top="200" w:right="220" w:bottom="280" w:left="380" w:header="720" w:footer="720" w:gutter="0"/>
      <w:cols w:num="2" w:space="720" w:equalWidth="0">
        <w:col w:w="2271" w:space="80"/>
        <w:col w:w="92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E3" w:rsidRDefault="005D69E3" w:rsidP="00CB568B">
      <w:r>
        <w:separator/>
      </w:r>
    </w:p>
  </w:endnote>
  <w:endnote w:type="continuationSeparator" w:id="0">
    <w:p w:rsidR="005D69E3" w:rsidRDefault="005D69E3" w:rsidP="00C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2648"/>
      <w:docPartObj>
        <w:docPartGallery w:val="Page Numbers (Bottom of Page)"/>
        <w:docPartUnique/>
      </w:docPartObj>
    </w:sdtPr>
    <w:sdtEndPr>
      <w:rPr>
        <w:noProof/>
      </w:rPr>
    </w:sdtEndPr>
    <w:sdtContent>
      <w:p w:rsidR="00CB568B" w:rsidRDefault="00CB568B">
        <w:pPr>
          <w:pStyle w:val="Footer"/>
          <w:jc w:val="center"/>
        </w:pPr>
        <w:r>
          <w:fldChar w:fldCharType="begin"/>
        </w:r>
        <w:r>
          <w:instrText xml:space="preserve"> PAGE   \* MERGEFORMAT </w:instrText>
        </w:r>
        <w:r>
          <w:fldChar w:fldCharType="separate"/>
        </w:r>
        <w:r w:rsidR="003C195A">
          <w:rPr>
            <w:noProof/>
          </w:rPr>
          <w:t>2</w:t>
        </w:r>
        <w:r>
          <w:rPr>
            <w:noProof/>
          </w:rPr>
          <w:fldChar w:fldCharType="end"/>
        </w:r>
      </w:p>
    </w:sdtContent>
  </w:sdt>
  <w:p w:rsidR="00CB568B" w:rsidRDefault="00CB5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E3" w:rsidRDefault="005D69E3" w:rsidP="00CB568B">
      <w:r>
        <w:separator/>
      </w:r>
    </w:p>
  </w:footnote>
  <w:footnote w:type="continuationSeparator" w:id="0">
    <w:p w:rsidR="005D69E3" w:rsidRDefault="005D69E3" w:rsidP="00CB5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4169"/>
    <w:multiLevelType w:val="hybridMultilevel"/>
    <w:tmpl w:val="29FE849A"/>
    <w:lvl w:ilvl="0" w:tplc="84DAFFAE">
      <w:start w:val="8"/>
      <w:numFmt w:val="decimal"/>
      <w:lvlText w:val="%1."/>
      <w:lvlJc w:val="left"/>
      <w:pPr>
        <w:ind w:left="1390" w:hanging="223"/>
        <w:jc w:val="left"/>
      </w:pPr>
      <w:rPr>
        <w:rFonts w:ascii="Arial" w:eastAsia="Arial" w:hAnsi="Arial" w:cs="Arial" w:hint="default"/>
        <w:color w:val="231F20"/>
        <w:w w:val="100"/>
        <w:sz w:val="20"/>
        <w:szCs w:val="20"/>
      </w:rPr>
    </w:lvl>
    <w:lvl w:ilvl="1" w:tplc="496E79B0">
      <w:start w:val="1"/>
      <w:numFmt w:val="upperLetter"/>
      <w:lvlText w:val="%2."/>
      <w:lvlJc w:val="left"/>
      <w:pPr>
        <w:ind w:left="1413" w:hanging="245"/>
        <w:jc w:val="left"/>
      </w:pPr>
      <w:rPr>
        <w:rFonts w:ascii="Arial" w:eastAsia="Arial" w:hAnsi="Arial" w:cs="Arial" w:hint="default"/>
        <w:color w:val="231F20"/>
        <w:w w:val="100"/>
        <w:sz w:val="20"/>
        <w:szCs w:val="20"/>
      </w:rPr>
    </w:lvl>
    <w:lvl w:ilvl="2" w:tplc="D5EC4C4E">
      <w:start w:val="1"/>
      <w:numFmt w:val="decimal"/>
      <w:lvlText w:val="%3."/>
      <w:lvlJc w:val="left"/>
      <w:pPr>
        <w:ind w:left="1779" w:hanging="360"/>
        <w:jc w:val="left"/>
      </w:pPr>
      <w:rPr>
        <w:rFonts w:ascii="Times New Roman" w:eastAsia="Times New Roman" w:hAnsi="Times New Roman" w:cs="Times New Roman" w:hint="default"/>
        <w:color w:val="231F20"/>
        <w:w w:val="99"/>
        <w:sz w:val="22"/>
        <w:szCs w:val="22"/>
      </w:rPr>
    </w:lvl>
    <w:lvl w:ilvl="3" w:tplc="D7349F60">
      <w:numFmt w:val="bullet"/>
      <w:lvlText w:val="•"/>
      <w:lvlJc w:val="left"/>
      <w:pPr>
        <w:ind w:left="3012" w:hanging="360"/>
      </w:pPr>
      <w:rPr>
        <w:rFonts w:hint="default"/>
      </w:rPr>
    </w:lvl>
    <w:lvl w:ilvl="4" w:tplc="C428E1EA">
      <w:numFmt w:val="bullet"/>
      <w:lvlText w:val="•"/>
      <w:lvlJc w:val="left"/>
      <w:pPr>
        <w:ind w:left="4245" w:hanging="360"/>
      </w:pPr>
      <w:rPr>
        <w:rFonts w:hint="default"/>
      </w:rPr>
    </w:lvl>
    <w:lvl w:ilvl="5" w:tplc="63008D24">
      <w:numFmt w:val="bullet"/>
      <w:lvlText w:val="•"/>
      <w:lvlJc w:val="left"/>
      <w:pPr>
        <w:ind w:left="5477" w:hanging="360"/>
      </w:pPr>
      <w:rPr>
        <w:rFonts w:hint="default"/>
      </w:rPr>
    </w:lvl>
    <w:lvl w:ilvl="6" w:tplc="0EC27C16">
      <w:numFmt w:val="bullet"/>
      <w:lvlText w:val="•"/>
      <w:lvlJc w:val="left"/>
      <w:pPr>
        <w:ind w:left="6710" w:hanging="360"/>
      </w:pPr>
      <w:rPr>
        <w:rFonts w:hint="default"/>
      </w:rPr>
    </w:lvl>
    <w:lvl w:ilvl="7" w:tplc="CC50CC1E">
      <w:numFmt w:val="bullet"/>
      <w:lvlText w:val="•"/>
      <w:lvlJc w:val="left"/>
      <w:pPr>
        <w:ind w:left="7942" w:hanging="360"/>
      </w:pPr>
      <w:rPr>
        <w:rFonts w:hint="default"/>
      </w:rPr>
    </w:lvl>
    <w:lvl w:ilvl="8" w:tplc="25685B2E">
      <w:numFmt w:val="bullet"/>
      <w:lvlText w:val="•"/>
      <w:lvlJc w:val="left"/>
      <w:pPr>
        <w:ind w:left="9175" w:hanging="360"/>
      </w:pPr>
      <w:rPr>
        <w:rFonts w:hint="default"/>
      </w:rPr>
    </w:lvl>
  </w:abstractNum>
  <w:abstractNum w:abstractNumId="1" w15:restartNumberingAfterBreak="0">
    <w:nsid w:val="3E603651"/>
    <w:multiLevelType w:val="hybridMultilevel"/>
    <w:tmpl w:val="E7F8CEC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679105B6"/>
    <w:multiLevelType w:val="hybridMultilevel"/>
    <w:tmpl w:val="92AEC98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1"/>
    <w:rsid w:val="001E4D7E"/>
    <w:rsid w:val="0034226D"/>
    <w:rsid w:val="003B3578"/>
    <w:rsid w:val="003C195A"/>
    <w:rsid w:val="003F6350"/>
    <w:rsid w:val="00575442"/>
    <w:rsid w:val="005D69E3"/>
    <w:rsid w:val="005F7FDD"/>
    <w:rsid w:val="00773E53"/>
    <w:rsid w:val="00775AE0"/>
    <w:rsid w:val="00883718"/>
    <w:rsid w:val="00B677C5"/>
    <w:rsid w:val="00C34A00"/>
    <w:rsid w:val="00C35FFA"/>
    <w:rsid w:val="00CB568B"/>
    <w:rsid w:val="00F20C55"/>
    <w:rsid w:val="00F40901"/>
    <w:rsid w:val="00F85585"/>
    <w:rsid w:val="00FD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8B582-1B06-4E64-BC30-C058CDD6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261"/>
      <w:outlineLvl w:val="0"/>
    </w:pPr>
    <w:rPr>
      <w:rFonts w:ascii="Courier New" w:eastAsia="Courier New" w:hAnsi="Courier New" w:cs="Courier New"/>
      <w:sz w:val="44"/>
      <w:szCs w:val="44"/>
    </w:rPr>
  </w:style>
  <w:style w:type="paragraph" w:styleId="Heading2">
    <w:name w:val="heading 2"/>
    <w:basedOn w:val="Normal"/>
    <w:uiPriority w:val="1"/>
    <w:qFormat/>
    <w:pPr>
      <w:ind w:left="192"/>
      <w:outlineLvl w:val="1"/>
    </w:pPr>
    <w:rPr>
      <w:rFonts w:ascii="Calibri" w:eastAsia="Calibri" w:hAnsi="Calibri" w:cs="Calibri"/>
      <w:sz w:val="36"/>
      <w:szCs w:val="36"/>
    </w:rPr>
  </w:style>
  <w:style w:type="paragraph" w:styleId="Heading3">
    <w:name w:val="heading 3"/>
    <w:basedOn w:val="Normal"/>
    <w:uiPriority w:val="1"/>
    <w:qFormat/>
    <w:pPr>
      <w:spacing w:line="321" w:lineRule="exact"/>
      <w:ind w:left="1253" w:right="1412"/>
      <w:jc w:val="center"/>
      <w:outlineLvl w:val="2"/>
    </w:pPr>
    <w:rPr>
      <w:i/>
      <w:sz w:val="28"/>
      <w:szCs w:val="28"/>
    </w:rPr>
  </w:style>
  <w:style w:type="paragraph" w:styleId="Heading4">
    <w:name w:val="heading 4"/>
    <w:basedOn w:val="Normal"/>
    <w:uiPriority w:val="1"/>
    <w:qFormat/>
    <w:pPr>
      <w:spacing w:before="128"/>
      <w:ind w:left="4453" w:right="-19" w:firstLine="618"/>
      <w:outlineLvl w:val="3"/>
    </w:pPr>
    <w:rPr>
      <w:rFonts w:ascii="Arial" w:eastAsia="Arial" w:hAnsi="Arial" w:cs="Arial"/>
      <w:b/>
      <w:bCs/>
      <w:sz w:val="25"/>
      <w:szCs w:val="25"/>
    </w:rPr>
  </w:style>
  <w:style w:type="paragraph" w:styleId="Heading5">
    <w:name w:val="heading 5"/>
    <w:basedOn w:val="Normal"/>
    <w:uiPriority w:val="1"/>
    <w:qFormat/>
    <w:pPr>
      <w:ind w:left="1060"/>
      <w:outlineLvl w:val="4"/>
    </w:pPr>
    <w:rPr>
      <w:b/>
      <w:bCs/>
      <w:sz w:val="24"/>
      <w:szCs w:val="24"/>
    </w:rPr>
  </w:style>
  <w:style w:type="paragraph" w:styleId="Heading6">
    <w:name w:val="heading 6"/>
    <w:basedOn w:val="Normal"/>
    <w:uiPriority w:val="1"/>
    <w:qFormat/>
    <w:pPr>
      <w:ind w:left="1060"/>
      <w:outlineLvl w:val="5"/>
    </w:pPr>
    <w:rPr>
      <w:sz w:val="24"/>
      <w:szCs w:val="24"/>
    </w:rPr>
  </w:style>
  <w:style w:type="paragraph" w:styleId="Heading7">
    <w:name w:val="heading 7"/>
    <w:basedOn w:val="Normal"/>
    <w:uiPriority w:val="1"/>
    <w:qFormat/>
    <w:pPr>
      <w:ind w:left="1192"/>
      <w:outlineLvl w:val="6"/>
    </w:pPr>
    <w:rPr>
      <w:b/>
      <w:bCs/>
      <w:sz w:val="23"/>
      <w:szCs w:val="23"/>
    </w:rPr>
  </w:style>
  <w:style w:type="paragraph" w:styleId="Heading8">
    <w:name w:val="heading 8"/>
    <w:basedOn w:val="Normal"/>
    <w:uiPriority w:val="1"/>
    <w:qFormat/>
    <w:pPr>
      <w:ind w:left="2015"/>
      <w:outlineLvl w:val="7"/>
    </w:pPr>
    <w:rPr>
      <w:sz w:val="23"/>
      <w:szCs w:val="23"/>
      <w:u w:val="single" w:color="000000"/>
    </w:rPr>
  </w:style>
  <w:style w:type="paragraph" w:styleId="Heading9">
    <w:name w:val="heading 9"/>
    <w:basedOn w:val="Normal"/>
    <w:uiPriority w:val="1"/>
    <w:qFormat/>
    <w:pPr>
      <w:ind w:left="10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886"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75442"/>
    <w:rPr>
      <w:color w:val="0000FF" w:themeColor="hyperlink"/>
      <w:u w:val="single"/>
    </w:rPr>
  </w:style>
  <w:style w:type="paragraph" w:styleId="Header">
    <w:name w:val="header"/>
    <w:basedOn w:val="Normal"/>
    <w:link w:val="HeaderChar"/>
    <w:uiPriority w:val="99"/>
    <w:unhideWhenUsed/>
    <w:rsid w:val="00CB568B"/>
    <w:pPr>
      <w:tabs>
        <w:tab w:val="center" w:pos="4680"/>
        <w:tab w:val="right" w:pos="9360"/>
      </w:tabs>
    </w:pPr>
  </w:style>
  <w:style w:type="character" w:customStyle="1" w:styleId="HeaderChar">
    <w:name w:val="Header Char"/>
    <w:basedOn w:val="DefaultParagraphFont"/>
    <w:link w:val="Header"/>
    <w:uiPriority w:val="99"/>
    <w:rsid w:val="00CB568B"/>
    <w:rPr>
      <w:rFonts w:ascii="Times New Roman" w:eastAsia="Times New Roman" w:hAnsi="Times New Roman" w:cs="Times New Roman"/>
    </w:rPr>
  </w:style>
  <w:style w:type="paragraph" w:styleId="Footer">
    <w:name w:val="footer"/>
    <w:basedOn w:val="Normal"/>
    <w:link w:val="FooterChar"/>
    <w:uiPriority w:val="99"/>
    <w:unhideWhenUsed/>
    <w:rsid w:val="00CB568B"/>
    <w:pPr>
      <w:tabs>
        <w:tab w:val="center" w:pos="4680"/>
        <w:tab w:val="right" w:pos="9360"/>
      </w:tabs>
    </w:pPr>
  </w:style>
  <w:style w:type="character" w:customStyle="1" w:styleId="FooterChar">
    <w:name w:val="Footer Char"/>
    <w:basedOn w:val="DefaultParagraphFont"/>
    <w:link w:val="Footer"/>
    <w:uiPriority w:val="99"/>
    <w:rsid w:val="00CB568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B5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sf.gov/pubs/policydocs/pappg18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NSF Forms</vt:lpstr>
    </vt:vector>
  </TitlesOfParts>
  <Company>UCI Henry Samueli School of Engineering</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Forms</dc:title>
  <dc:creator>NSF</dc:creator>
  <cp:lastModifiedBy>Katherine Saldana Diaz</cp:lastModifiedBy>
  <cp:revision>3</cp:revision>
  <dcterms:created xsi:type="dcterms:W3CDTF">2018-10-24T19:19:00Z</dcterms:created>
  <dcterms:modified xsi:type="dcterms:W3CDTF">2018-10-30T16:17:00Z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eps@nsf.gov</vt:lpwstr>
  </property>
  <property fmtid="{D5CDD505-2E9C-101B-9397-08002B2CF9AE}" pid="4" name="LastSaved">
    <vt:filetime>2018-08-22T00:00:00Z</vt:filetime>
  </property>
</Properties>
</file>