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EC77" w14:textId="77777777" w:rsidR="00575442" w:rsidRDefault="005F7FDD" w:rsidP="00B677C5">
      <w:pPr>
        <w:ind w:firstLine="720"/>
        <w:jc w:val="center"/>
        <w:rPr>
          <w:b/>
          <w:color w:val="231F20"/>
        </w:rPr>
      </w:pPr>
      <w:r>
        <w:rPr>
          <w:b/>
          <w:color w:val="231F20"/>
        </w:rPr>
        <w:t>Facilities, Equipment and Other Resources</w:t>
      </w:r>
    </w:p>
    <w:p w14:paraId="6A88F0E1" w14:textId="77777777" w:rsidR="00D86A31" w:rsidRDefault="00D86A31" w:rsidP="00D86A31"/>
    <w:p w14:paraId="228DE0C0" w14:textId="6A657103" w:rsidR="00D86A31" w:rsidRDefault="00D86A31" w:rsidP="008D0FE2">
      <w:pPr>
        <w:jc w:val="both"/>
        <w:rPr>
          <w:b/>
          <w:bCs/>
        </w:rPr>
      </w:pPr>
      <w:r w:rsidRPr="000963E7">
        <w:rPr>
          <w:b/>
          <w:bCs/>
        </w:rPr>
        <w:t>I</w:t>
      </w:r>
      <w:r>
        <w:rPr>
          <w:b/>
          <w:bCs/>
        </w:rPr>
        <w:t>I</w:t>
      </w:r>
      <w:r w:rsidRPr="000963E7">
        <w:rPr>
          <w:b/>
          <w:bCs/>
        </w:rPr>
        <w:t xml:space="preserve">. UCI </w:t>
      </w:r>
      <w:r>
        <w:rPr>
          <w:b/>
          <w:bCs/>
        </w:rPr>
        <w:t>SHARED FACILITIES</w:t>
      </w:r>
    </w:p>
    <w:p w14:paraId="3FCE3851" w14:textId="77777777" w:rsidR="00B76511" w:rsidRDefault="00B76511" w:rsidP="008D0FE2">
      <w:pPr>
        <w:jc w:val="both"/>
        <w:rPr>
          <w:b/>
          <w:bCs/>
        </w:rPr>
      </w:pPr>
    </w:p>
    <w:p w14:paraId="2D171C05" w14:textId="77777777" w:rsidR="00D86A31" w:rsidRDefault="00AD023D" w:rsidP="008D0FE2">
      <w:pPr>
        <w:jc w:val="both"/>
        <w:rPr>
          <w:b/>
          <w:bCs/>
        </w:rPr>
      </w:pPr>
      <w:r w:rsidRPr="001E284A">
        <w:rPr>
          <w:b/>
          <w:bCs/>
        </w:rPr>
        <w:t xml:space="preserve">UCI Research </w:t>
      </w:r>
      <w:proofErr w:type="spellStart"/>
      <w:r w:rsidRPr="001E284A">
        <w:rPr>
          <w:b/>
          <w:bCs/>
        </w:rPr>
        <w:t>CyberInfrastructure</w:t>
      </w:r>
      <w:proofErr w:type="spellEnd"/>
      <w:r w:rsidRPr="001E284A">
        <w:rPr>
          <w:b/>
          <w:bCs/>
        </w:rPr>
        <w:t xml:space="preserve"> Center (RCIC)</w:t>
      </w:r>
    </w:p>
    <w:p w14:paraId="41555BEF" w14:textId="77777777" w:rsidR="00D86A31" w:rsidRDefault="00D86A31" w:rsidP="008D0FE2">
      <w:pPr>
        <w:ind w:firstLine="720"/>
        <w:jc w:val="both"/>
      </w:pPr>
    </w:p>
    <w:p w14:paraId="4E4F5226" w14:textId="359E6E6C" w:rsidR="00AD023D" w:rsidRDefault="00AD023D" w:rsidP="00C33B08">
      <w:pPr>
        <w:jc w:val="both"/>
      </w:pPr>
      <w:r>
        <w:t xml:space="preserve">RCIC maintains campus infrastructure for </w:t>
      </w:r>
      <w:r w:rsidRPr="001E284A">
        <w:t xml:space="preserve">high-performance and high-throughput computing, research data storage and analysis, and scientific software tool integration. Computing and data infrastructure </w:t>
      </w:r>
      <w:proofErr w:type="gramStart"/>
      <w:r w:rsidRPr="001E284A">
        <w:t>is</w:t>
      </w:r>
      <w:proofErr w:type="gramEnd"/>
      <w:r w:rsidRPr="001E284A">
        <w:t xml:space="preserve"> operated in a shared financial model where campus researchers are given no-cost access to a baseline level of computing and highly-reliable storage, but can also purchase additional capacity and capability using grant or other funds. In addition, no-charge computation with modest local storage is available to a wider range of the campus community.</w:t>
      </w:r>
      <w:r>
        <w:t xml:space="preserve"> </w:t>
      </w:r>
      <w:r w:rsidRPr="00CF77A0">
        <w:rPr>
          <w:bCs/>
          <w:lang w:val="en-GB"/>
        </w:rPr>
        <w:t xml:space="preserve">RCIC </w:t>
      </w:r>
      <w:r>
        <w:rPr>
          <w:bCs/>
          <w:lang w:val="en-GB"/>
        </w:rPr>
        <w:t>has</w:t>
      </w:r>
      <w:r w:rsidRPr="00CF77A0">
        <w:rPr>
          <w:bCs/>
          <w:lang w:val="en-GB"/>
        </w:rPr>
        <w:t xml:space="preserve"> eight full-time professionals</w:t>
      </w:r>
      <w:r>
        <w:rPr>
          <w:bCs/>
          <w:lang w:val="en-GB"/>
        </w:rPr>
        <w:t xml:space="preserve">, whom </w:t>
      </w:r>
      <w:r w:rsidRPr="00CF77A0">
        <w:rPr>
          <w:bCs/>
          <w:lang w:val="en-GB"/>
        </w:rPr>
        <w:t xml:space="preserve">are cross trained in </w:t>
      </w:r>
      <w:r>
        <w:rPr>
          <w:bCs/>
          <w:lang w:val="en-GB"/>
        </w:rPr>
        <w:t>the in</w:t>
      </w:r>
      <w:r w:rsidR="00C33B08">
        <w:rPr>
          <w:bCs/>
          <w:lang w:val="en-GB"/>
        </w:rPr>
        <w:t>fra</w:t>
      </w:r>
      <w:r>
        <w:rPr>
          <w:bCs/>
          <w:lang w:val="en-GB"/>
        </w:rPr>
        <w:t>structure and researcher support</w:t>
      </w:r>
      <w:r w:rsidRPr="00CF77A0">
        <w:rPr>
          <w:bCs/>
          <w:lang w:val="en-GB"/>
        </w:rPr>
        <w:t xml:space="preserve">. </w:t>
      </w:r>
      <w:r>
        <w:t>The following resources are available through RCIC:</w:t>
      </w:r>
    </w:p>
    <w:p w14:paraId="540F5A97" w14:textId="77777777" w:rsidR="00AD023D" w:rsidRDefault="00AD023D" w:rsidP="008D0FE2">
      <w:pPr>
        <w:jc w:val="both"/>
      </w:pPr>
    </w:p>
    <w:p w14:paraId="220E7D48" w14:textId="3A35AC62" w:rsidR="00AD023D" w:rsidRDefault="00AD023D" w:rsidP="008D0FE2">
      <w:pPr>
        <w:jc w:val="both"/>
        <w:rPr>
          <w:color w:val="231F20"/>
        </w:rPr>
      </w:pPr>
      <w:r w:rsidRPr="00805255">
        <w:rPr>
          <w:i/>
          <w:iCs/>
        </w:rPr>
        <w:t>HPC</w:t>
      </w:r>
      <w:r w:rsidRPr="00805255">
        <w:rPr>
          <w:i/>
          <w:iCs/>
          <w:vertAlign w:val="superscript"/>
        </w:rPr>
        <w:t>3</w:t>
      </w:r>
      <w:r w:rsidRPr="00805255">
        <w:rPr>
          <w:i/>
          <w:iCs/>
        </w:rPr>
        <w:t>:</w:t>
      </w:r>
      <w:r>
        <w:t xml:space="preserve"> </w:t>
      </w:r>
      <w:r w:rsidR="00C33B08">
        <w:t>This new cluster</w:t>
      </w:r>
      <w:r w:rsidR="00BF2D0F">
        <w:t xml:space="preserve"> replaces the soon-to-be retired HPC condo cluster (9200 cores (248 nodes) across 23 distinct processors).</w:t>
      </w:r>
      <w:r w:rsidR="00C33B08">
        <w:t xml:space="preserve"> </w:t>
      </w:r>
      <w:r w:rsidR="00BF2D0F">
        <w:t>The high-</w:t>
      </w:r>
      <w:r w:rsidRPr="00A8333C">
        <w:t>performance computational community cluster  (HPC</w:t>
      </w:r>
      <w:r w:rsidRPr="00A8333C">
        <w:rPr>
          <w:vertAlign w:val="superscript"/>
        </w:rPr>
        <w:t>3</w:t>
      </w:r>
      <w:r w:rsidR="00BF2D0F" w:rsidRPr="00C33B08">
        <w:softHyphen/>
        <w:t>)</w:t>
      </w:r>
      <w:r w:rsidR="00BF2D0F">
        <w:t xml:space="preserve"> </w:t>
      </w:r>
      <w:r w:rsidR="0013573F">
        <w:t>will absorb compatible HPC nodes (~1600 cores/29 nodes) and adds new Skylake/Cascade Lake (4300 cores/108 nodes) for an initial sizing of 5900 cores/137 nodes.</w:t>
      </w:r>
      <w:r w:rsidR="00C33B08">
        <w:t xml:space="preserve"> </w:t>
      </w:r>
      <w:r w:rsidR="0013573F">
        <w:t xml:space="preserve">All nodes are interconnected at 10GbE and 56Gbps/100Gpbs </w:t>
      </w:r>
      <w:proofErr w:type="spellStart"/>
      <w:r w:rsidR="0013573F">
        <w:t>Infiniband</w:t>
      </w:r>
      <w:proofErr w:type="spellEnd"/>
      <w:r w:rsidR="0013573F">
        <w:t>. The new systems support</w:t>
      </w:r>
      <w:r w:rsidRPr="00A8333C">
        <w:t xml:space="preserve"> condo (node purchase), core-hour purchase (similar to commercial cloud), granted-cycle, and unaccounted (free queue) access.</w:t>
      </w:r>
      <w:r w:rsidR="0013573F">
        <w:t xml:space="preserve"> UCI provides continual investment in hardware and plans to add another 2000 cores for general in 2021. </w:t>
      </w:r>
      <w:r>
        <w:t xml:space="preserve"> </w:t>
      </w:r>
      <w:r w:rsidRPr="00A8333C">
        <w:t>Like HPC, it open to all researchers at UCI.  Purchased nodes have the number of CPU and GPU (if any) hours that they deliver in a year credit to a project account. Jobs can then run anywhere on the cluster using these credits.</w:t>
      </w:r>
    </w:p>
    <w:p w14:paraId="20E903A2" w14:textId="77777777" w:rsidR="00AD023D" w:rsidRDefault="00AD023D" w:rsidP="008D0FE2">
      <w:pPr>
        <w:jc w:val="both"/>
        <w:rPr>
          <w:color w:val="231F20"/>
        </w:rPr>
      </w:pPr>
    </w:p>
    <w:p w14:paraId="4ECF59D2" w14:textId="000C29AF" w:rsidR="0013573F" w:rsidRDefault="00AD023D" w:rsidP="008D0FE2">
      <w:pPr>
        <w:jc w:val="both"/>
        <w:rPr>
          <w:color w:val="231F20"/>
        </w:rPr>
      </w:pPr>
      <w:r w:rsidRPr="00805255">
        <w:rPr>
          <w:i/>
          <w:iCs/>
          <w:color w:val="231F20"/>
        </w:rPr>
        <w:t>Campus Research Storage Pool (CRSP):</w:t>
      </w:r>
      <w:r>
        <w:rPr>
          <w:color w:val="231F20"/>
        </w:rPr>
        <w:t xml:space="preserve"> CRSP </w:t>
      </w:r>
      <w:r w:rsidRPr="00805255">
        <w:rPr>
          <w:color w:val="231F20"/>
        </w:rPr>
        <w:t>It is an Enterprise-grade system</w:t>
      </w:r>
      <w:r>
        <w:rPr>
          <w:color w:val="231F20"/>
        </w:rPr>
        <w:t xml:space="preserve">, with up to </w:t>
      </w:r>
      <w:r w:rsidR="00CD3E19">
        <w:rPr>
          <w:color w:val="231F20"/>
        </w:rPr>
        <w:t>1 Petabyte (PB) of usable</w:t>
      </w:r>
      <w:r>
        <w:rPr>
          <w:color w:val="231F20"/>
        </w:rPr>
        <w:t xml:space="preserve"> capacity</w:t>
      </w:r>
      <w:r w:rsidR="00CD3E19">
        <w:rPr>
          <w:color w:val="231F20"/>
        </w:rPr>
        <w:t xml:space="preserve"> (2.8PB raw before replication/RAID overhead)</w:t>
      </w:r>
      <w:r>
        <w:rPr>
          <w:color w:val="231F20"/>
        </w:rPr>
        <w:t>,</w:t>
      </w:r>
      <w:r w:rsidRPr="00805255">
        <w:rPr>
          <w:color w:val="231F20"/>
        </w:rPr>
        <w:t xml:space="preserve"> with 7x24 support. All data written to CRSP is immediately replicated for two-copy data protection. Asynchronously, data is replicated to a third offsite facility for disaster recovery.</w:t>
      </w:r>
      <w:r>
        <w:rPr>
          <w:color w:val="231F20"/>
        </w:rPr>
        <w:t xml:space="preserve"> </w:t>
      </w:r>
      <w:r w:rsidR="00CD3E19">
        <w:rPr>
          <w:color w:val="231F20"/>
        </w:rPr>
        <w:t xml:space="preserve">CRSP is accessible through three low-level protocols (SFTP, HTTPS and NFS). The first two enable direct access to CRSP from in-lab equipment or laptop. Faculty are granted 1TB of no-cost storage on CRSP, can enable others (usually centered on their research group) to read and write their space, and can purchase additional capacity at the cost of media. The current configuration of CRSP can support 4 PB. </w:t>
      </w:r>
    </w:p>
    <w:p w14:paraId="6CD917A3" w14:textId="77777777" w:rsidR="0013573F" w:rsidRPr="00C33B08" w:rsidRDefault="0013573F" w:rsidP="008D0FE2">
      <w:pPr>
        <w:jc w:val="both"/>
        <w:rPr>
          <w:i/>
          <w:iCs/>
          <w:color w:val="231F20"/>
        </w:rPr>
      </w:pPr>
    </w:p>
    <w:p w14:paraId="263D147A" w14:textId="6DA7D3D9" w:rsidR="00AD023D" w:rsidRDefault="0013573F" w:rsidP="008D0FE2">
      <w:pPr>
        <w:jc w:val="both"/>
        <w:rPr>
          <w:color w:val="231F20"/>
        </w:rPr>
      </w:pPr>
      <w:r w:rsidRPr="00C33B08">
        <w:rPr>
          <w:i/>
          <w:iCs/>
          <w:color w:val="231F20"/>
        </w:rPr>
        <w:t>Cluster Storage</w:t>
      </w:r>
      <w:r>
        <w:rPr>
          <w:color w:val="231F20"/>
        </w:rPr>
        <w:t xml:space="preserve">. </w:t>
      </w:r>
      <w:r w:rsidR="00AD023D" w:rsidRPr="00805255">
        <w:rPr>
          <w:color w:val="231F20"/>
        </w:rPr>
        <w:t xml:space="preserve">In addition to CRSP, the RCIC deploys scalable parallel file system storage based on </w:t>
      </w:r>
      <w:proofErr w:type="spellStart"/>
      <w:r w:rsidR="00AD023D" w:rsidRPr="00805255">
        <w:rPr>
          <w:color w:val="231F20"/>
        </w:rPr>
        <w:t>BeeGFS</w:t>
      </w:r>
      <w:proofErr w:type="spellEnd"/>
      <w:r w:rsidR="00AD023D" w:rsidRPr="00805255">
        <w:rPr>
          <w:color w:val="231F20"/>
        </w:rPr>
        <w:t>. Multiple Petabyte systems exist an</w:t>
      </w:r>
      <w:r>
        <w:rPr>
          <w:color w:val="231F20"/>
        </w:rPr>
        <w:t>d</w:t>
      </w:r>
      <w:r w:rsidR="00AD023D" w:rsidRPr="00805255">
        <w:rPr>
          <w:color w:val="231F20"/>
        </w:rPr>
        <w:t xml:space="preserve"> are intended for long-term “scratch” storage. </w:t>
      </w:r>
      <w:r w:rsidR="00CD3E19">
        <w:rPr>
          <w:color w:val="231F20"/>
        </w:rPr>
        <w:t xml:space="preserve">Four different parallel files systems provide about 3.2PB of usable capacity. </w:t>
      </w:r>
      <w:r w:rsidR="00AD023D" w:rsidRPr="00805255">
        <w:rPr>
          <w:color w:val="231F20"/>
        </w:rPr>
        <w:t>While data is protected against multiple disk failures, all data in these file systems are single copy. Users can choose directories for “selective backup” to replicate data to another storage system. Replication runs daily.</w:t>
      </w:r>
    </w:p>
    <w:p w14:paraId="10474FC2" w14:textId="1DE1F6C6" w:rsidR="00AD023D" w:rsidRDefault="00AD023D" w:rsidP="003A2BEA">
      <w:pPr>
        <w:jc w:val="center"/>
        <w:rPr>
          <w:b/>
          <w:bCs/>
          <w:color w:val="000000" w:themeColor="text1"/>
        </w:rPr>
      </w:pPr>
    </w:p>
    <w:p w14:paraId="00C4DDC7" w14:textId="77777777" w:rsidR="003A2BEA" w:rsidRPr="003A2BEA" w:rsidRDefault="003A2BEA" w:rsidP="003A2BEA">
      <w:pPr>
        <w:jc w:val="center"/>
        <w:rPr>
          <w:b/>
          <w:bCs/>
          <w:color w:val="000000" w:themeColor="text1"/>
        </w:rPr>
      </w:pPr>
    </w:p>
    <w:p w14:paraId="104FBAEC" w14:textId="39008550" w:rsidR="006D1DAD" w:rsidRDefault="006D1DAD" w:rsidP="006D1DAD">
      <w:pPr>
        <w:tabs>
          <w:tab w:val="left" w:pos="0"/>
        </w:tabs>
        <w:adjustRightInd w:val="0"/>
        <w:jc w:val="both"/>
        <w:rPr>
          <w:rFonts w:cs="Calibri"/>
        </w:rPr>
      </w:pPr>
    </w:p>
    <w:p w14:paraId="4ABC4648" w14:textId="5DC2B8F0" w:rsidR="006D1DAD" w:rsidRPr="003A2BEA" w:rsidRDefault="006D1DAD" w:rsidP="006D1DAD">
      <w:pPr>
        <w:rPr>
          <w:b/>
          <w:bCs/>
          <w:color w:val="000000" w:themeColor="text1"/>
        </w:rPr>
      </w:pPr>
    </w:p>
    <w:sectPr w:rsidR="006D1DAD" w:rsidRPr="003A2BEA" w:rsidSect="00847A8E">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96BE" w14:textId="77777777" w:rsidR="006E701C" w:rsidRDefault="006E701C" w:rsidP="00CB568B">
      <w:r>
        <w:separator/>
      </w:r>
    </w:p>
  </w:endnote>
  <w:endnote w:type="continuationSeparator" w:id="0">
    <w:p w14:paraId="2E4DF70D" w14:textId="77777777" w:rsidR="006E701C" w:rsidRDefault="006E701C"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0837" w14:textId="7058E5C2" w:rsidR="00414A87" w:rsidRPr="005F240C" w:rsidRDefault="00414A87" w:rsidP="00414A87">
    <w:pPr>
      <w:pStyle w:val="Footer"/>
      <w:jc w:val="right"/>
      <w:rPr>
        <w:i/>
        <w:iCs/>
        <w:color w:val="808080" w:themeColor="background1" w:themeShade="80"/>
        <w:sz w:val="20"/>
        <w:szCs w:val="20"/>
      </w:rPr>
    </w:pPr>
    <w:r w:rsidRPr="005F240C">
      <w:rPr>
        <w:i/>
        <w:iCs/>
        <w:color w:val="808080" w:themeColor="background1" w:themeShade="80"/>
        <w:sz w:val="20"/>
        <w:szCs w:val="20"/>
      </w:rPr>
      <w:t xml:space="preserve">Document last updated: </w:t>
    </w:r>
    <w:r w:rsidR="00C33B08">
      <w:rPr>
        <w:i/>
        <w:iCs/>
        <w:color w:val="808080" w:themeColor="background1" w:themeShade="80"/>
        <w:sz w:val="20"/>
        <w:szCs w:val="20"/>
      </w:rPr>
      <w:t>Oct. 27</w:t>
    </w:r>
    <w:r w:rsidRPr="005F240C">
      <w:rPr>
        <w:i/>
        <w:iCs/>
        <w:color w:val="808080" w:themeColor="background1" w:themeShade="80"/>
        <w:sz w:val="20"/>
        <w:szCs w:val="20"/>
      </w:rPr>
      <w:t>, 20</w:t>
    </w:r>
    <w:r w:rsidR="00C33B08">
      <w:rPr>
        <w:i/>
        <w:iCs/>
        <w:color w:val="808080" w:themeColor="background1" w:themeShade="80"/>
        <w:sz w:val="20"/>
        <w:szCs w:val="20"/>
      </w:rPr>
      <w:t>20</w:t>
    </w:r>
  </w:p>
  <w:p w14:paraId="0E446AA1" w14:textId="77777777" w:rsidR="00414A87" w:rsidRDefault="0041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1A77" w14:textId="77777777" w:rsidR="006E701C" w:rsidRDefault="006E701C" w:rsidP="00CB568B">
      <w:r>
        <w:separator/>
      </w:r>
    </w:p>
  </w:footnote>
  <w:footnote w:type="continuationSeparator" w:id="0">
    <w:p w14:paraId="26B891C4" w14:textId="77777777" w:rsidR="006E701C" w:rsidRDefault="006E701C" w:rsidP="00CB5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820A5"/>
    <w:multiLevelType w:val="hybridMultilevel"/>
    <w:tmpl w:val="0C764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AB4169"/>
    <w:multiLevelType w:val="hybridMultilevel"/>
    <w:tmpl w:val="29FE849A"/>
    <w:lvl w:ilvl="0" w:tplc="84DAFFAE">
      <w:start w:val="8"/>
      <w:numFmt w:val="decimal"/>
      <w:lvlText w:val="%1."/>
      <w:lvlJc w:val="left"/>
      <w:pPr>
        <w:ind w:left="1390" w:hanging="223"/>
      </w:pPr>
      <w:rPr>
        <w:rFonts w:ascii="Arial" w:eastAsia="Arial" w:hAnsi="Arial" w:cs="Arial" w:hint="default"/>
        <w:color w:val="231F20"/>
        <w:w w:val="100"/>
        <w:sz w:val="20"/>
        <w:szCs w:val="20"/>
      </w:rPr>
    </w:lvl>
    <w:lvl w:ilvl="1" w:tplc="496E79B0">
      <w:start w:val="1"/>
      <w:numFmt w:val="upperLetter"/>
      <w:lvlText w:val="%2."/>
      <w:lvlJc w:val="left"/>
      <w:pPr>
        <w:ind w:left="1413" w:hanging="245"/>
      </w:pPr>
      <w:rPr>
        <w:rFonts w:ascii="Arial" w:eastAsia="Arial" w:hAnsi="Arial" w:cs="Arial" w:hint="default"/>
        <w:color w:val="231F20"/>
        <w:w w:val="100"/>
        <w:sz w:val="20"/>
        <w:szCs w:val="20"/>
      </w:rPr>
    </w:lvl>
    <w:lvl w:ilvl="2" w:tplc="D5EC4C4E">
      <w:start w:val="1"/>
      <w:numFmt w:val="decimal"/>
      <w:lvlText w:val="%3."/>
      <w:lvlJc w:val="left"/>
      <w:pPr>
        <w:ind w:left="1779" w:hanging="360"/>
      </w:pPr>
      <w:rPr>
        <w:rFonts w:ascii="Times New Roman" w:eastAsia="Times New Roman" w:hAnsi="Times New Roman" w:cs="Times New Roman" w:hint="default"/>
        <w:color w:val="231F20"/>
        <w:w w:val="99"/>
        <w:sz w:val="22"/>
        <w:szCs w:val="22"/>
      </w:rPr>
    </w:lvl>
    <w:lvl w:ilvl="3" w:tplc="D7349F60">
      <w:numFmt w:val="bullet"/>
      <w:lvlText w:val="•"/>
      <w:lvlJc w:val="left"/>
      <w:pPr>
        <w:ind w:left="3012" w:hanging="360"/>
      </w:pPr>
      <w:rPr>
        <w:rFonts w:hint="default"/>
      </w:rPr>
    </w:lvl>
    <w:lvl w:ilvl="4" w:tplc="C428E1EA">
      <w:numFmt w:val="bullet"/>
      <w:lvlText w:val="•"/>
      <w:lvlJc w:val="left"/>
      <w:pPr>
        <w:ind w:left="4245" w:hanging="360"/>
      </w:pPr>
      <w:rPr>
        <w:rFonts w:hint="default"/>
      </w:rPr>
    </w:lvl>
    <w:lvl w:ilvl="5" w:tplc="63008D24">
      <w:numFmt w:val="bullet"/>
      <w:lvlText w:val="•"/>
      <w:lvlJc w:val="left"/>
      <w:pPr>
        <w:ind w:left="5477" w:hanging="360"/>
      </w:pPr>
      <w:rPr>
        <w:rFonts w:hint="default"/>
      </w:rPr>
    </w:lvl>
    <w:lvl w:ilvl="6" w:tplc="0EC27C16">
      <w:numFmt w:val="bullet"/>
      <w:lvlText w:val="•"/>
      <w:lvlJc w:val="left"/>
      <w:pPr>
        <w:ind w:left="6710" w:hanging="360"/>
      </w:pPr>
      <w:rPr>
        <w:rFonts w:hint="default"/>
      </w:rPr>
    </w:lvl>
    <w:lvl w:ilvl="7" w:tplc="CC50CC1E">
      <w:numFmt w:val="bullet"/>
      <w:lvlText w:val="•"/>
      <w:lvlJc w:val="left"/>
      <w:pPr>
        <w:ind w:left="7942" w:hanging="360"/>
      </w:pPr>
      <w:rPr>
        <w:rFonts w:hint="default"/>
      </w:rPr>
    </w:lvl>
    <w:lvl w:ilvl="8" w:tplc="25685B2E">
      <w:numFmt w:val="bullet"/>
      <w:lvlText w:val="•"/>
      <w:lvlJc w:val="left"/>
      <w:pPr>
        <w:ind w:left="9175" w:hanging="360"/>
      </w:pPr>
      <w:rPr>
        <w:rFonts w:hint="default"/>
      </w:rPr>
    </w:lvl>
  </w:abstractNum>
  <w:abstractNum w:abstractNumId="2" w15:restartNumberingAfterBreak="0">
    <w:nsid w:val="3E603651"/>
    <w:multiLevelType w:val="hybridMultilevel"/>
    <w:tmpl w:val="E7F8CEC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679105B6"/>
    <w:multiLevelType w:val="hybridMultilevel"/>
    <w:tmpl w:val="92AEC98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01"/>
    <w:rsid w:val="00045B2C"/>
    <w:rsid w:val="000A612D"/>
    <w:rsid w:val="000B57CD"/>
    <w:rsid w:val="00117874"/>
    <w:rsid w:val="0013573F"/>
    <w:rsid w:val="001660AC"/>
    <w:rsid w:val="001E2199"/>
    <w:rsid w:val="001E284A"/>
    <w:rsid w:val="001E4D7E"/>
    <w:rsid w:val="001F5098"/>
    <w:rsid w:val="00224E29"/>
    <w:rsid w:val="002F430F"/>
    <w:rsid w:val="0034226D"/>
    <w:rsid w:val="00386D73"/>
    <w:rsid w:val="003A2BEA"/>
    <w:rsid w:val="003B3578"/>
    <w:rsid w:val="003C195A"/>
    <w:rsid w:val="003F6350"/>
    <w:rsid w:val="00412CAB"/>
    <w:rsid w:val="00414A87"/>
    <w:rsid w:val="00421EBF"/>
    <w:rsid w:val="004800B3"/>
    <w:rsid w:val="004F404A"/>
    <w:rsid w:val="00542D86"/>
    <w:rsid w:val="00575442"/>
    <w:rsid w:val="005A61C6"/>
    <w:rsid w:val="005B1300"/>
    <w:rsid w:val="005D69E3"/>
    <w:rsid w:val="005F7FDD"/>
    <w:rsid w:val="00670745"/>
    <w:rsid w:val="006C60CA"/>
    <w:rsid w:val="006D1DAD"/>
    <w:rsid w:val="006E701C"/>
    <w:rsid w:val="006F38AD"/>
    <w:rsid w:val="00773E53"/>
    <w:rsid w:val="00775AE0"/>
    <w:rsid w:val="00805255"/>
    <w:rsid w:val="00847A8E"/>
    <w:rsid w:val="00864F15"/>
    <w:rsid w:val="00883718"/>
    <w:rsid w:val="0088648C"/>
    <w:rsid w:val="008B21E0"/>
    <w:rsid w:val="008D0FE2"/>
    <w:rsid w:val="008F6517"/>
    <w:rsid w:val="009271C2"/>
    <w:rsid w:val="009E0ACA"/>
    <w:rsid w:val="00A8333C"/>
    <w:rsid w:val="00AB37F2"/>
    <w:rsid w:val="00AD023D"/>
    <w:rsid w:val="00AD247C"/>
    <w:rsid w:val="00B00E30"/>
    <w:rsid w:val="00B14B33"/>
    <w:rsid w:val="00B23F69"/>
    <w:rsid w:val="00B677C5"/>
    <w:rsid w:val="00B76511"/>
    <w:rsid w:val="00BF2D0F"/>
    <w:rsid w:val="00C12545"/>
    <w:rsid w:val="00C33B08"/>
    <w:rsid w:val="00C34A00"/>
    <w:rsid w:val="00C35FFA"/>
    <w:rsid w:val="00C71DC3"/>
    <w:rsid w:val="00C87CFE"/>
    <w:rsid w:val="00CB568B"/>
    <w:rsid w:val="00CD3E19"/>
    <w:rsid w:val="00CF77A0"/>
    <w:rsid w:val="00D00492"/>
    <w:rsid w:val="00D041AC"/>
    <w:rsid w:val="00D0578B"/>
    <w:rsid w:val="00D86A31"/>
    <w:rsid w:val="00DE4FAB"/>
    <w:rsid w:val="00E4476E"/>
    <w:rsid w:val="00EC1A19"/>
    <w:rsid w:val="00EF6947"/>
    <w:rsid w:val="00F20C55"/>
    <w:rsid w:val="00F40901"/>
    <w:rsid w:val="00F85585"/>
    <w:rsid w:val="00FD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411"/>
  <w15:docId w15:val="{E928B582-1B06-4E64-BC30-C058CDD6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61"/>
      <w:outlineLvl w:val="0"/>
    </w:pPr>
    <w:rPr>
      <w:rFonts w:ascii="Courier New" w:eastAsia="Courier New" w:hAnsi="Courier New" w:cs="Courier New"/>
      <w:sz w:val="44"/>
      <w:szCs w:val="44"/>
    </w:rPr>
  </w:style>
  <w:style w:type="paragraph" w:styleId="Heading2">
    <w:name w:val="heading 2"/>
    <w:basedOn w:val="Normal"/>
    <w:uiPriority w:val="1"/>
    <w:qFormat/>
    <w:pPr>
      <w:ind w:left="192"/>
      <w:outlineLvl w:val="1"/>
    </w:pPr>
    <w:rPr>
      <w:rFonts w:ascii="Calibri" w:eastAsia="Calibri" w:hAnsi="Calibri" w:cs="Calibri"/>
      <w:sz w:val="36"/>
      <w:szCs w:val="36"/>
    </w:rPr>
  </w:style>
  <w:style w:type="paragraph" w:styleId="Heading3">
    <w:name w:val="heading 3"/>
    <w:basedOn w:val="Normal"/>
    <w:uiPriority w:val="1"/>
    <w:qFormat/>
    <w:pPr>
      <w:spacing w:line="321" w:lineRule="exact"/>
      <w:ind w:left="1253" w:right="1412"/>
      <w:jc w:val="center"/>
      <w:outlineLvl w:val="2"/>
    </w:pPr>
    <w:rPr>
      <w:i/>
      <w:sz w:val="28"/>
      <w:szCs w:val="28"/>
    </w:rPr>
  </w:style>
  <w:style w:type="paragraph" w:styleId="Heading4">
    <w:name w:val="heading 4"/>
    <w:basedOn w:val="Normal"/>
    <w:uiPriority w:val="1"/>
    <w:qFormat/>
    <w:pPr>
      <w:spacing w:before="128"/>
      <w:ind w:left="4453" w:right="-19" w:firstLine="618"/>
      <w:outlineLvl w:val="3"/>
    </w:pPr>
    <w:rPr>
      <w:rFonts w:ascii="Arial" w:eastAsia="Arial" w:hAnsi="Arial" w:cs="Arial"/>
      <w:b/>
      <w:bCs/>
      <w:sz w:val="25"/>
      <w:szCs w:val="25"/>
    </w:rPr>
  </w:style>
  <w:style w:type="paragraph" w:styleId="Heading5">
    <w:name w:val="heading 5"/>
    <w:basedOn w:val="Normal"/>
    <w:uiPriority w:val="1"/>
    <w:qFormat/>
    <w:pPr>
      <w:ind w:left="1060"/>
      <w:outlineLvl w:val="4"/>
    </w:pPr>
    <w:rPr>
      <w:b/>
      <w:bCs/>
      <w:sz w:val="24"/>
      <w:szCs w:val="24"/>
    </w:rPr>
  </w:style>
  <w:style w:type="paragraph" w:styleId="Heading6">
    <w:name w:val="heading 6"/>
    <w:basedOn w:val="Normal"/>
    <w:uiPriority w:val="1"/>
    <w:qFormat/>
    <w:pPr>
      <w:ind w:left="1060"/>
      <w:outlineLvl w:val="5"/>
    </w:pPr>
    <w:rPr>
      <w:sz w:val="24"/>
      <w:szCs w:val="24"/>
    </w:rPr>
  </w:style>
  <w:style w:type="paragraph" w:styleId="Heading7">
    <w:name w:val="heading 7"/>
    <w:basedOn w:val="Normal"/>
    <w:uiPriority w:val="1"/>
    <w:qFormat/>
    <w:pPr>
      <w:ind w:left="1192"/>
      <w:outlineLvl w:val="6"/>
    </w:pPr>
    <w:rPr>
      <w:b/>
      <w:bCs/>
      <w:sz w:val="23"/>
      <w:szCs w:val="23"/>
    </w:rPr>
  </w:style>
  <w:style w:type="paragraph" w:styleId="Heading8">
    <w:name w:val="heading 8"/>
    <w:basedOn w:val="Normal"/>
    <w:uiPriority w:val="1"/>
    <w:qFormat/>
    <w:pPr>
      <w:ind w:left="2015"/>
      <w:outlineLvl w:val="7"/>
    </w:pPr>
    <w:rPr>
      <w:sz w:val="23"/>
      <w:szCs w:val="23"/>
      <w:u w:val="single" w:color="000000"/>
    </w:rPr>
  </w:style>
  <w:style w:type="paragraph" w:styleId="Heading9">
    <w:name w:val="heading 9"/>
    <w:basedOn w:val="Normal"/>
    <w:uiPriority w:val="1"/>
    <w:qFormat/>
    <w:pPr>
      <w:ind w:left="10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5886"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75442"/>
    <w:rPr>
      <w:color w:val="0000FF" w:themeColor="hyperlink"/>
      <w:u w:val="single"/>
    </w:rPr>
  </w:style>
  <w:style w:type="paragraph" w:styleId="Header">
    <w:name w:val="header"/>
    <w:basedOn w:val="Normal"/>
    <w:link w:val="HeaderChar"/>
    <w:uiPriority w:val="99"/>
    <w:unhideWhenUsed/>
    <w:rsid w:val="00CB568B"/>
    <w:pPr>
      <w:tabs>
        <w:tab w:val="center" w:pos="4680"/>
        <w:tab w:val="right" w:pos="9360"/>
      </w:tabs>
    </w:pPr>
  </w:style>
  <w:style w:type="character" w:customStyle="1" w:styleId="HeaderChar">
    <w:name w:val="Header Char"/>
    <w:basedOn w:val="DefaultParagraphFont"/>
    <w:link w:val="Header"/>
    <w:uiPriority w:val="99"/>
    <w:rsid w:val="00CB568B"/>
    <w:rPr>
      <w:rFonts w:ascii="Times New Roman" w:eastAsia="Times New Roman" w:hAnsi="Times New Roman" w:cs="Times New Roman"/>
    </w:rPr>
  </w:style>
  <w:style w:type="paragraph" w:styleId="Footer">
    <w:name w:val="footer"/>
    <w:basedOn w:val="Normal"/>
    <w:link w:val="FooterChar"/>
    <w:uiPriority w:val="99"/>
    <w:unhideWhenUsed/>
    <w:rsid w:val="00CB568B"/>
    <w:pPr>
      <w:tabs>
        <w:tab w:val="center" w:pos="4680"/>
        <w:tab w:val="right" w:pos="9360"/>
      </w:tabs>
    </w:pPr>
  </w:style>
  <w:style w:type="character" w:customStyle="1" w:styleId="FooterChar">
    <w:name w:val="Footer Char"/>
    <w:basedOn w:val="DefaultParagraphFont"/>
    <w:link w:val="Footer"/>
    <w:uiPriority w:val="99"/>
    <w:rsid w:val="00CB568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B568B"/>
    <w:rPr>
      <w:color w:val="800080" w:themeColor="followedHyperlink"/>
      <w:u w:val="single"/>
    </w:rPr>
  </w:style>
  <w:style w:type="character" w:styleId="UnresolvedMention">
    <w:name w:val="Unresolved Mention"/>
    <w:basedOn w:val="DefaultParagraphFont"/>
    <w:uiPriority w:val="99"/>
    <w:semiHidden/>
    <w:unhideWhenUsed/>
    <w:rsid w:val="006C60CA"/>
    <w:rPr>
      <w:color w:val="605E5C"/>
      <w:shd w:val="clear" w:color="auto" w:fill="E1DFDD"/>
    </w:rPr>
  </w:style>
  <w:style w:type="paragraph" w:styleId="BalloonText">
    <w:name w:val="Balloon Text"/>
    <w:basedOn w:val="Normal"/>
    <w:link w:val="BalloonTextChar"/>
    <w:uiPriority w:val="99"/>
    <w:semiHidden/>
    <w:unhideWhenUsed/>
    <w:rsid w:val="009E0ACA"/>
    <w:rPr>
      <w:sz w:val="18"/>
      <w:szCs w:val="18"/>
    </w:rPr>
  </w:style>
  <w:style w:type="character" w:customStyle="1" w:styleId="BalloonTextChar">
    <w:name w:val="Balloon Text Char"/>
    <w:basedOn w:val="DefaultParagraphFont"/>
    <w:link w:val="BalloonText"/>
    <w:uiPriority w:val="99"/>
    <w:semiHidden/>
    <w:rsid w:val="009E0AC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8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NSF Forms</vt:lpstr>
    </vt:vector>
  </TitlesOfParts>
  <Company>UCI Henry Samueli School of Engineering</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Lori Greene</cp:lastModifiedBy>
  <cp:revision>4</cp:revision>
  <dcterms:created xsi:type="dcterms:W3CDTF">2020-10-27T18:06:00Z</dcterms:created>
  <dcterms:modified xsi:type="dcterms:W3CDTF">2020-10-27T18:08:00Z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eps@nsf.gov</vt:lpwstr>
  </property>
  <property fmtid="{D5CDD505-2E9C-101B-9397-08002B2CF9AE}" pid="4" name="LastSaved">
    <vt:filetime>2018-08-22T00:00:00Z</vt:filetime>
  </property>
</Properties>
</file>